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27BE3" w14:textId="6BE73C69" w:rsidR="00B87118" w:rsidRDefault="00B42B38" w:rsidP="00B42B38">
      <w:pPr>
        <w:jc w:val="center"/>
      </w:pPr>
      <w:r>
        <w:rPr>
          <w:noProof/>
        </w:rPr>
        <w:drawing>
          <wp:inline distT="0" distB="0" distL="0" distR="0" wp14:anchorId="7F0582FD" wp14:editId="06A5A3F1">
            <wp:extent cx="5731510" cy="1063625"/>
            <wp:effectExtent l="0" t="0" r="2540" b="3175"/>
            <wp:docPr id="1" name="Picture 1" descr="A picture containing plant,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ss Banner Small.jpg"/>
                    <pic:cNvPicPr/>
                  </pic:nvPicPr>
                  <pic:blipFill>
                    <a:blip r:embed="rId5">
                      <a:extLst>
                        <a:ext uri="{28A0092B-C50C-407E-A947-70E740481C1C}">
                          <a14:useLocalDpi xmlns:a14="http://schemas.microsoft.com/office/drawing/2010/main" val="0"/>
                        </a:ext>
                      </a:extLst>
                    </a:blip>
                    <a:stretch>
                      <a:fillRect/>
                    </a:stretch>
                  </pic:blipFill>
                  <pic:spPr>
                    <a:xfrm>
                      <a:off x="0" y="0"/>
                      <a:ext cx="5731510" cy="1063625"/>
                    </a:xfrm>
                    <a:prstGeom prst="rect">
                      <a:avLst/>
                    </a:prstGeom>
                  </pic:spPr>
                </pic:pic>
              </a:graphicData>
            </a:graphic>
          </wp:inline>
        </w:drawing>
      </w:r>
    </w:p>
    <w:p w14:paraId="2CBDF3A0" w14:textId="6D3E0505" w:rsidR="00B42B38" w:rsidRPr="00B42B38" w:rsidRDefault="00B42B38" w:rsidP="00B42B38">
      <w:pPr>
        <w:pStyle w:val="BodyText"/>
        <w:spacing w:before="57" w:line="285" w:lineRule="auto"/>
        <w:ind w:left="115" w:right="239"/>
        <w:jc w:val="center"/>
        <w:rPr>
          <w:sz w:val="40"/>
          <w:szCs w:val="40"/>
        </w:rPr>
      </w:pPr>
      <w:r w:rsidRPr="00B42B38">
        <w:rPr>
          <w:sz w:val="40"/>
          <w:szCs w:val="40"/>
        </w:rPr>
        <w:t xml:space="preserve">Potassium </w:t>
      </w:r>
      <w:r>
        <w:rPr>
          <w:sz w:val="40"/>
          <w:szCs w:val="40"/>
        </w:rPr>
        <w:t>i</w:t>
      </w:r>
      <w:r w:rsidRPr="00B42B38">
        <w:rPr>
          <w:sz w:val="40"/>
          <w:szCs w:val="40"/>
        </w:rPr>
        <w:t>n Turf</w:t>
      </w:r>
    </w:p>
    <w:p w14:paraId="17C01ACE" w14:textId="77777777" w:rsidR="00B42B38" w:rsidRDefault="00B42B38" w:rsidP="00B42B38">
      <w:pPr>
        <w:pStyle w:val="BodyText"/>
        <w:spacing w:before="57" w:line="285" w:lineRule="auto"/>
        <w:ind w:left="115" w:right="239"/>
        <w:jc w:val="both"/>
      </w:pPr>
    </w:p>
    <w:p w14:paraId="68198072" w14:textId="0E380FBA" w:rsidR="00B42B38" w:rsidRPr="00B42B38" w:rsidRDefault="00B42B38" w:rsidP="00B42B38">
      <w:pPr>
        <w:pStyle w:val="BodyText"/>
        <w:spacing w:before="57" w:line="285" w:lineRule="auto"/>
        <w:ind w:left="115" w:right="239"/>
        <w:jc w:val="both"/>
        <w:rPr>
          <w:rFonts w:ascii="Lato" w:hAnsi="Lato"/>
        </w:rPr>
      </w:pPr>
      <w:r w:rsidRPr="00B42B38">
        <w:rPr>
          <w:rFonts w:ascii="Lato" w:hAnsi="Lato"/>
        </w:rPr>
        <w:t xml:space="preserve">Potassium is required by the turfgrass plant in relatively large amounts compared to other nutrients. Potassium use is second only to nitrogen and of course the elements sourced from water and the atmosphere; carbon, hydrogen and oxygen. Potassium plays an important role in many key turfgrass processes and developmental phases, many of which have a major impact on plant resilience and stress resistance. As the underlying goal of turfgrass management is to sustain a healthy and vigorous turf surface that withstands the rigors of its’ </w:t>
      </w:r>
      <w:proofErr w:type="gramStart"/>
      <w:r w:rsidRPr="00B42B38">
        <w:rPr>
          <w:rFonts w:ascii="Lato" w:hAnsi="Lato"/>
        </w:rPr>
        <w:t>particular sport</w:t>
      </w:r>
      <w:proofErr w:type="gramEnd"/>
      <w:r w:rsidRPr="00B42B38">
        <w:rPr>
          <w:rFonts w:ascii="Lato" w:hAnsi="Lato"/>
        </w:rPr>
        <w:t>, an agronomic understanding of potassium in the turfgrass plant is vital.</w:t>
      </w:r>
    </w:p>
    <w:p w14:paraId="35617C84" w14:textId="1FB6E24D" w:rsidR="00B42B38" w:rsidRPr="00B42B38" w:rsidRDefault="00B42B38" w:rsidP="00B42B38">
      <w:pPr>
        <w:pStyle w:val="BodyText"/>
        <w:spacing w:before="120" w:line="285" w:lineRule="auto"/>
        <w:ind w:left="115" w:right="239"/>
        <w:jc w:val="both"/>
        <w:rPr>
          <w:rFonts w:ascii="Lato" w:hAnsi="Lato"/>
        </w:rPr>
      </w:pPr>
      <w:r w:rsidRPr="00B42B38">
        <w:rPr>
          <w:rFonts w:ascii="Lato" w:hAnsi="Lato"/>
        </w:rPr>
        <w:t xml:space="preserve">Potassium deficiencies are relatively common in turf situations. Research has shown that the </w:t>
      </w:r>
      <w:proofErr w:type="gramStart"/>
      <w:r w:rsidRPr="00B42B38">
        <w:rPr>
          <w:rFonts w:ascii="Lato" w:hAnsi="Lato"/>
        </w:rPr>
        <w:t>sand based</w:t>
      </w:r>
      <w:proofErr w:type="gramEnd"/>
      <w:r w:rsidRPr="00B42B38">
        <w:rPr>
          <w:rFonts w:ascii="Lato" w:hAnsi="Lato"/>
        </w:rPr>
        <w:t xml:space="preserve"> profiles commonly desirable in </w:t>
      </w:r>
      <w:proofErr w:type="spellStart"/>
      <w:r w:rsidRPr="00B42B38">
        <w:rPr>
          <w:rFonts w:ascii="Lato" w:hAnsi="Lato"/>
        </w:rPr>
        <w:t>sportsturf</w:t>
      </w:r>
      <w:proofErr w:type="spellEnd"/>
      <w:r w:rsidRPr="00B42B38">
        <w:rPr>
          <w:rFonts w:ascii="Lato" w:hAnsi="Lato"/>
        </w:rPr>
        <w:t xml:space="preserve"> construction are prone to losing potassium through ground water. This is a major problem in USGA type profiles where little organic matter is present to retain the required amounts of potassium. Regular irrigation further enhances losses through soil leaching and may ultimately result in losses to ground water exceeding potassium input, causing plant deficiency. Analysis of USGA type soil profiles in Australia has frequently shown than many profiles possess potassium levels below the minimum requirements of the plant. In addition to losses to ground water, frequent mowing and removal of clippings on intensively managed turf surfaces such as golf and bowling greens depletes plant potassium reserves due to losses in removed clippings. It is estimated that up to 1.3kg of potassium per 100m</w:t>
      </w:r>
      <w:r w:rsidRPr="00B42B38">
        <w:rPr>
          <w:rFonts w:ascii="Lato" w:hAnsi="Lato"/>
          <w:vertAlign w:val="superscript"/>
        </w:rPr>
        <w:t>2</w:t>
      </w:r>
      <w:r w:rsidRPr="00B42B38">
        <w:rPr>
          <w:rFonts w:ascii="Lato" w:hAnsi="Lato"/>
        </w:rPr>
        <w:t xml:space="preserve"> is lost annually through the removal of mower</w:t>
      </w:r>
      <w:r w:rsidRPr="00B42B38">
        <w:rPr>
          <w:rFonts w:ascii="Lato" w:hAnsi="Lato"/>
          <w:spacing w:val="-31"/>
        </w:rPr>
        <w:t xml:space="preserve"> </w:t>
      </w:r>
      <w:r w:rsidRPr="00B42B38">
        <w:rPr>
          <w:rFonts w:ascii="Lato" w:hAnsi="Lato"/>
        </w:rPr>
        <w:t>clippings.</w:t>
      </w:r>
    </w:p>
    <w:p w14:paraId="77F2AB64" w14:textId="77777777" w:rsidR="00B42B38" w:rsidRPr="00B42B38" w:rsidRDefault="00B42B38" w:rsidP="00B42B38">
      <w:pPr>
        <w:pStyle w:val="BodyText"/>
        <w:spacing w:before="119" w:line="285" w:lineRule="auto"/>
        <w:ind w:left="115" w:right="239"/>
        <w:jc w:val="both"/>
        <w:rPr>
          <w:rFonts w:ascii="Lato" w:hAnsi="Lato"/>
        </w:rPr>
      </w:pPr>
      <w:r w:rsidRPr="00B42B38">
        <w:rPr>
          <w:rFonts w:ascii="Lato" w:hAnsi="Lato"/>
        </w:rPr>
        <w:t xml:space="preserve">Symptoms of potassium deficiency will present themselves in many ways depending on the time of year, the turf species and the general health of the plant. As potassium plays an integral role in key developmental functions related to plant hardiness and resilience, the first sign of potassium deficiency will often present as a generally unthrifty and unresponsive growth habit, particularly under environmental or physical stresses. Often the signs that potassium is deficient will only become obvious sometime after soil deficiency </w:t>
      </w:r>
      <w:proofErr w:type="gramStart"/>
      <w:r w:rsidRPr="00B42B38">
        <w:rPr>
          <w:rFonts w:ascii="Lato" w:hAnsi="Lato"/>
        </w:rPr>
        <w:t>actually occurs</w:t>
      </w:r>
      <w:proofErr w:type="gramEnd"/>
      <w:r w:rsidRPr="00B42B38">
        <w:rPr>
          <w:rFonts w:ascii="Lato" w:hAnsi="Lato"/>
        </w:rPr>
        <w:t xml:space="preserve"> as turfgrass plants will often possess extensive reserves of potassium within their tissue. This results from a process known as luxury consumption, when the plant uptakes much more potassium than is required during times of high availability. When plant available potassium is low, the plant first exhausts internal reserves before any symptoms become evident. Some of the key signs of potassium deficiency are:</w:t>
      </w:r>
    </w:p>
    <w:p w14:paraId="33A61A8F" w14:textId="77777777" w:rsidR="00B42B38" w:rsidRPr="00B42B38" w:rsidRDefault="00B42B38" w:rsidP="00B42B38">
      <w:pPr>
        <w:pStyle w:val="ListParagraph"/>
        <w:numPr>
          <w:ilvl w:val="0"/>
          <w:numId w:val="2"/>
        </w:numPr>
        <w:tabs>
          <w:tab w:val="left" w:pos="1402"/>
          <w:tab w:val="left" w:pos="1403"/>
        </w:tabs>
        <w:spacing w:before="122"/>
        <w:rPr>
          <w:rFonts w:ascii="Lato" w:hAnsi="Lato"/>
        </w:rPr>
      </w:pPr>
      <w:r w:rsidRPr="00B42B38">
        <w:rPr>
          <w:rFonts w:ascii="Lato" w:hAnsi="Lato"/>
        </w:rPr>
        <w:t>Reduced resilience in cold and</w:t>
      </w:r>
      <w:r w:rsidRPr="00B42B38">
        <w:rPr>
          <w:rFonts w:ascii="Lato" w:hAnsi="Lato"/>
          <w:spacing w:val="-7"/>
        </w:rPr>
        <w:t xml:space="preserve"> </w:t>
      </w:r>
      <w:r w:rsidRPr="00B42B38">
        <w:rPr>
          <w:rFonts w:ascii="Lato" w:hAnsi="Lato"/>
        </w:rPr>
        <w:t>frost</w:t>
      </w:r>
    </w:p>
    <w:p w14:paraId="0655A3EA" w14:textId="77777777" w:rsidR="00B42B38" w:rsidRPr="00B42B38" w:rsidRDefault="00B42B38" w:rsidP="00B42B38">
      <w:pPr>
        <w:pStyle w:val="ListParagraph"/>
        <w:numPr>
          <w:ilvl w:val="0"/>
          <w:numId w:val="2"/>
        </w:numPr>
        <w:tabs>
          <w:tab w:val="left" w:pos="1402"/>
          <w:tab w:val="left" w:pos="1403"/>
        </w:tabs>
        <w:rPr>
          <w:rFonts w:ascii="Lato" w:hAnsi="Lato"/>
        </w:rPr>
      </w:pPr>
      <w:r w:rsidRPr="00B42B38">
        <w:rPr>
          <w:rFonts w:ascii="Lato" w:hAnsi="Lato"/>
        </w:rPr>
        <w:t>Poor heat and drought</w:t>
      </w:r>
      <w:r w:rsidRPr="00B42B38">
        <w:rPr>
          <w:rFonts w:ascii="Lato" w:hAnsi="Lato"/>
          <w:spacing w:val="-2"/>
        </w:rPr>
        <w:t xml:space="preserve"> </w:t>
      </w:r>
      <w:r w:rsidRPr="00B42B38">
        <w:rPr>
          <w:rFonts w:ascii="Lato" w:hAnsi="Lato"/>
        </w:rPr>
        <w:t>resistance</w:t>
      </w:r>
    </w:p>
    <w:p w14:paraId="1E7DF1D2" w14:textId="77777777" w:rsidR="00B42B38" w:rsidRPr="00B42B38" w:rsidRDefault="00B42B38" w:rsidP="00B42B38">
      <w:pPr>
        <w:pStyle w:val="ListParagraph"/>
        <w:numPr>
          <w:ilvl w:val="0"/>
          <w:numId w:val="2"/>
        </w:numPr>
        <w:tabs>
          <w:tab w:val="left" w:pos="1402"/>
          <w:tab w:val="left" w:pos="1403"/>
        </w:tabs>
        <w:rPr>
          <w:rFonts w:ascii="Lato" w:hAnsi="Lato"/>
        </w:rPr>
      </w:pPr>
      <w:r w:rsidRPr="00B42B38">
        <w:rPr>
          <w:rFonts w:ascii="Lato" w:hAnsi="Lato"/>
        </w:rPr>
        <w:t>Flaccid, stunted root</w:t>
      </w:r>
      <w:r w:rsidRPr="00B42B38">
        <w:rPr>
          <w:rFonts w:ascii="Lato" w:hAnsi="Lato"/>
          <w:spacing w:val="-6"/>
        </w:rPr>
        <w:t xml:space="preserve"> </w:t>
      </w:r>
      <w:r w:rsidRPr="00B42B38">
        <w:rPr>
          <w:rFonts w:ascii="Lato" w:hAnsi="Lato"/>
        </w:rPr>
        <w:t>system</w:t>
      </w:r>
    </w:p>
    <w:p w14:paraId="60B2C666" w14:textId="77777777" w:rsidR="00B42B38" w:rsidRPr="00B42B38" w:rsidRDefault="00B42B38" w:rsidP="00B42B38">
      <w:pPr>
        <w:pStyle w:val="ListParagraph"/>
        <w:numPr>
          <w:ilvl w:val="0"/>
          <w:numId w:val="2"/>
        </w:numPr>
        <w:tabs>
          <w:tab w:val="left" w:pos="1402"/>
          <w:tab w:val="left" w:pos="1403"/>
        </w:tabs>
        <w:spacing w:before="50"/>
        <w:rPr>
          <w:rFonts w:ascii="Lato" w:hAnsi="Lato"/>
        </w:rPr>
      </w:pPr>
      <w:r w:rsidRPr="00B42B38">
        <w:rPr>
          <w:rFonts w:ascii="Lato" w:hAnsi="Lato"/>
        </w:rPr>
        <w:t>Lack of colour and general</w:t>
      </w:r>
      <w:r w:rsidRPr="00B42B38">
        <w:rPr>
          <w:rFonts w:ascii="Lato" w:hAnsi="Lato"/>
          <w:spacing w:val="-9"/>
        </w:rPr>
        <w:t xml:space="preserve"> </w:t>
      </w:r>
      <w:r w:rsidRPr="00B42B38">
        <w:rPr>
          <w:rFonts w:ascii="Lato" w:hAnsi="Lato"/>
        </w:rPr>
        <w:t>vigour</w:t>
      </w:r>
    </w:p>
    <w:p w14:paraId="45723156" w14:textId="77777777" w:rsidR="00B42B38" w:rsidRPr="00B42B38" w:rsidRDefault="00B42B38" w:rsidP="00B42B38">
      <w:pPr>
        <w:pStyle w:val="ListParagraph"/>
        <w:numPr>
          <w:ilvl w:val="0"/>
          <w:numId w:val="2"/>
        </w:numPr>
        <w:tabs>
          <w:tab w:val="left" w:pos="1402"/>
          <w:tab w:val="left" w:pos="1403"/>
        </w:tabs>
        <w:rPr>
          <w:rFonts w:ascii="Lato" w:hAnsi="Lato"/>
        </w:rPr>
      </w:pPr>
      <w:r w:rsidRPr="00B42B38">
        <w:rPr>
          <w:rFonts w:ascii="Lato" w:hAnsi="Lato"/>
        </w:rPr>
        <w:t>Increased susceptibility to diseases including brown patch and winter</w:t>
      </w:r>
      <w:r w:rsidRPr="00B42B38">
        <w:rPr>
          <w:rFonts w:ascii="Lato" w:hAnsi="Lato"/>
          <w:spacing w:val="-11"/>
        </w:rPr>
        <w:t xml:space="preserve"> </w:t>
      </w:r>
      <w:r w:rsidRPr="00B42B38">
        <w:rPr>
          <w:rFonts w:ascii="Lato" w:hAnsi="Lato"/>
        </w:rPr>
        <w:t>fusarium</w:t>
      </w:r>
    </w:p>
    <w:p w14:paraId="455E43D6" w14:textId="77777777" w:rsidR="00126D55" w:rsidRDefault="00126D55" w:rsidP="00B42B38">
      <w:pPr>
        <w:pStyle w:val="BodyText"/>
        <w:spacing w:before="171" w:line="285" w:lineRule="auto"/>
        <w:ind w:left="115" w:right="240"/>
        <w:jc w:val="both"/>
        <w:rPr>
          <w:rFonts w:ascii="Lato" w:hAnsi="Lato"/>
        </w:rPr>
      </w:pPr>
    </w:p>
    <w:p w14:paraId="48DB9ADD" w14:textId="45F439E8" w:rsidR="00B42B38" w:rsidRPr="00B42B38" w:rsidRDefault="00B42B38" w:rsidP="00B42B38">
      <w:pPr>
        <w:pStyle w:val="BodyText"/>
        <w:spacing w:before="171" w:line="285" w:lineRule="auto"/>
        <w:ind w:left="115" w:right="240"/>
        <w:jc w:val="both"/>
        <w:rPr>
          <w:rFonts w:ascii="Lato" w:hAnsi="Lato"/>
        </w:rPr>
      </w:pPr>
      <w:r w:rsidRPr="00B42B38">
        <w:rPr>
          <w:rFonts w:ascii="Lato" w:hAnsi="Lato"/>
        </w:rPr>
        <w:t>While it is not technically a physical component of turfgrass cells, potassium is an essential constituent in many key plant developmental processes, many of which play a major role in stress resistance and general plant hardiness. Potassium is involved</w:t>
      </w:r>
      <w:r w:rsidRPr="00B42B38">
        <w:rPr>
          <w:rFonts w:ascii="Lato" w:hAnsi="Lato"/>
          <w:spacing w:val="-2"/>
        </w:rPr>
        <w:t xml:space="preserve"> </w:t>
      </w:r>
      <w:r w:rsidRPr="00B42B38">
        <w:rPr>
          <w:rFonts w:ascii="Lato" w:hAnsi="Lato"/>
        </w:rPr>
        <w:t>in:</w:t>
      </w:r>
    </w:p>
    <w:p w14:paraId="2BD0FC55" w14:textId="77777777" w:rsidR="00B42B38" w:rsidRPr="00B42B38" w:rsidRDefault="00B42B38" w:rsidP="00B42B38">
      <w:pPr>
        <w:pStyle w:val="ListParagraph"/>
        <w:numPr>
          <w:ilvl w:val="0"/>
          <w:numId w:val="1"/>
        </w:numPr>
        <w:tabs>
          <w:tab w:val="left" w:pos="683"/>
        </w:tabs>
        <w:spacing w:before="121" w:line="285" w:lineRule="auto"/>
        <w:ind w:right="237"/>
        <w:jc w:val="both"/>
        <w:rPr>
          <w:rFonts w:ascii="Lato" w:hAnsi="Lato"/>
        </w:rPr>
      </w:pPr>
      <w:r w:rsidRPr="00B42B38">
        <w:rPr>
          <w:rFonts w:ascii="Lato" w:hAnsi="Lato"/>
          <w:b/>
        </w:rPr>
        <w:t>Carbohydrate production, transport and storage</w:t>
      </w:r>
      <w:r w:rsidRPr="00B42B38">
        <w:rPr>
          <w:rFonts w:ascii="Lato" w:hAnsi="Lato"/>
        </w:rPr>
        <w:t xml:space="preserve">. This is important during the winter months when photosynthesis </w:t>
      </w:r>
      <w:proofErr w:type="gramStart"/>
      <w:r w:rsidRPr="00B42B38">
        <w:rPr>
          <w:rFonts w:ascii="Lato" w:hAnsi="Lato"/>
        </w:rPr>
        <w:t>slows</w:t>
      </w:r>
      <w:proofErr w:type="gramEnd"/>
      <w:r w:rsidRPr="00B42B38">
        <w:rPr>
          <w:rFonts w:ascii="Lato" w:hAnsi="Lato"/>
        </w:rPr>
        <w:t xml:space="preserve"> and energy efficiency is</w:t>
      </w:r>
      <w:r w:rsidRPr="00B42B38">
        <w:rPr>
          <w:rFonts w:ascii="Lato" w:hAnsi="Lato"/>
          <w:spacing w:val="-7"/>
        </w:rPr>
        <w:t xml:space="preserve"> </w:t>
      </w:r>
      <w:r w:rsidRPr="00B42B38">
        <w:rPr>
          <w:rFonts w:ascii="Lato" w:hAnsi="Lato"/>
        </w:rPr>
        <w:t>essential.</w:t>
      </w:r>
    </w:p>
    <w:p w14:paraId="0B6D1FE0" w14:textId="77777777" w:rsidR="00B42B38" w:rsidRPr="00B42B38" w:rsidRDefault="00B42B38" w:rsidP="00B42B38">
      <w:pPr>
        <w:spacing w:line="285" w:lineRule="auto"/>
        <w:jc w:val="both"/>
        <w:rPr>
          <w:rFonts w:ascii="Lato" w:hAnsi="Lato"/>
        </w:rPr>
        <w:sectPr w:rsidR="00B42B38" w:rsidRPr="00B42B38" w:rsidSect="00126D55">
          <w:pgSz w:w="11910" w:h="16840"/>
          <w:pgMar w:top="993" w:right="660" w:bottom="284" w:left="851" w:header="720" w:footer="720" w:gutter="0"/>
          <w:cols w:space="720"/>
        </w:sectPr>
      </w:pPr>
    </w:p>
    <w:p w14:paraId="746C836D" w14:textId="77777777" w:rsidR="00B42B38" w:rsidRPr="00B42B38" w:rsidRDefault="00B42B38" w:rsidP="00B42B38">
      <w:pPr>
        <w:pStyle w:val="ListParagraph"/>
        <w:numPr>
          <w:ilvl w:val="0"/>
          <w:numId w:val="1"/>
        </w:numPr>
        <w:tabs>
          <w:tab w:val="left" w:pos="671"/>
        </w:tabs>
        <w:spacing w:before="67" w:line="285" w:lineRule="auto"/>
        <w:ind w:left="670" w:right="120"/>
        <w:jc w:val="both"/>
        <w:rPr>
          <w:rFonts w:ascii="Lato" w:hAnsi="Lato"/>
        </w:rPr>
      </w:pPr>
      <w:r w:rsidRPr="00B42B38">
        <w:rPr>
          <w:rFonts w:ascii="Lato" w:hAnsi="Lato"/>
          <w:b/>
        </w:rPr>
        <w:lastRenderedPageBreak/>
        <w:t>Amino acid and protein synthesis</w:t>
      </w:r>
      <w:r w:rsidRPr="00B42B38">
        <w:rPr>
          <w:rFonts w:ascii="Lato" w:hAnsi="Lato"/>
        </w:rPr>
        <w:t>. The physical fabric of plant tissue largely comprises of proteins which in turn are made up of complex amino acid chains. Amino acid production must be sustained at optimum levels during periods of physical stress to avoid the plant breaking down existing proteins to synthesise new proteins at the expense of existing tissue</w:t>
      </w:r>
      <w:r w:rsidRPr="00B42B38">
        <w:rPr>
          <w:rFonts w:ascii="Lato" w:hAnsi="Lato"/>
          <w:spacing w:val="-9"/>
        </w:rPr>
        <w:t xml:space="preserve"> </w:t>
      </w:r>
      <w:r w:rsidRPr="00B42B38">
        <w:rPr>
          <w:rFonts w:ascii="Lato" w:hAnsi="Lato"/>
        </w:rPr>
        <w:t>structure.</w:t>
      </w:r>
    </w:p>
    <w:p w14:paraId="01FAEF80" w14:textId="77777777" w:rsidR="00B42B38" w:rsidRPr="00B42B38" w:rsidRDefault="00B42B38" w:rsidP="00B42B38">
      <w:pPr>
        <w:pStyle w:val="ListParagraph"/>
        <w:numPr>
          <w:ilvl w:val="0"/>
          <w:numId w:val="1"/>
        </w:numPr>
        <w:tabs>
          <w:tab w:val="left" w:pos="671"/>
        </w:tabs>
        <w:spacing w:before="1" w:line="285" w:lineRule="auto"/>
        <w:ind w:left="670" w:right="119"/>
        <w:jc w:val="both"/>
        <w:rPr>
          <w:rFonts w:ascii="Lato" w:hAnsi="Lato"/>
        </w:rPr>
      </w:pPr>
      <w:r w:rsidRPr="00B42B38">
        <w:rPr>
          <w:rFonts w:ascii="Lato" w:hAnsi="Lato"/>
          <w:b/>
        </w:rPr>
        <w:t>The regulation of transpiration</w:t>
      </w:r>
      <w:r w:rsidRPr="00B42B38">
        <w:rPr>
          <w:rFonts w:ascii="Lato" w:hAnsi="Lato"/>
        </w:rPr>
        <w:t>. Potassium is a key component in the opening and closing of stomata which controls transpiration, the process by which the plant cools itself. When deficiency occurs, the plants’ ability to cool itself can be compromised, limiting drought and heat</w:t>
      </w:r>
      <w:r w:rsidRPr="00B42B38">
        <w:rPr>
          <w:rFonts w:ascii="Lato" w:hAnsi="Lato"/>
          <w:spacing w:val="-4"/>
        </w:rPr>
        <w:t xml:space="preserve"> </w:t>
      </w:r>
      <w:r w:rsidRPr="00B42B38">
        <w:rPr>
          <w:rFonts w:ascii="Lato" w:hAnsi="Lato"/>
        </w:rPr>
        <w:t>resistance.</w:t>
      </w:r>
    </w:p>
    <w:p w14:paraId="12C2C191" w14:textId="77777777" w:rsidR="00B42B38" w:rsidRPr="00B42B38" w:rsidRDefault="00B42B38" w:rsidP="00B42B38">
      <w:pPr>
        <w:pStyle w:val="ListParagraph"/>
        <w:numPr>
          <w:ilvl w:val="0"/>
          <w:numId w:val="1"/>
        </w:numPr>
        <w:tabs>
          <w:tab w:val="left" w:pos="721"/>
          <w:tab w:val="left" w:pos="722"/>
        </w:tabs>
        <w:spacing w:before="0" w:line="285" w:lineRule="auto"/>
        <w:ind w:left="670" w:right="119"/>
        <w:jc w:val="both"/>
        <w:rPr>
          <w:rFonts w:ascii="Lato" w:hAnsi="Lato"/>
        </w:rPr>
      </w:pPr>
      <w:r w:rsidRPr="00B42B38">
        <w:rPr>
          <w:rFonts w:ascii="Lato" w:hAnsi="Lato"/>
        </w:rPr>
        <w:tab/>
      </w:r>
      <w:r w:rsidRPr="00B42B38">
        <w:rPr>
          <w:rFonts w:ascii="Lato" w:hAnsi="Lato"/>
          <w:b/>
        </w:rPr>
        <w:t>Enzyme production and function</w:t>
      </w:r>
      <w:r w:rsidRPr="00B42B38">
        <w:rPr>
          <w:rFonts w:ascii="Lato" w:hAnsi="Lato"/>
        </w:rPr>
        <w:t>. As a major catalyst in key enzymatic reactions, potassium is an essential component of plant metabolism and hormone related biological</w:t>
      </w:r>
      <w:r w:rsidRPr="00B42B38">
        <w:rPr>
          <w:rFonts w:ascii="Lato" w:hAnsi="Lato"/>
          <w:spacing w:val="-15"/>
        </w:rPr>
        <w:t xml:space="preserve"> </w:t>
      </w:r>
      <w:r w:rsidRPr="00B42B38">
        <w:rPr>
          <w:rFonts w:ascii="Lato" w:hAnsi="Lato"/>
        </w:rPr>
        <w:t>functions.</w:t>
      </w:r>
    </w:p>
    <w:p w14:paraId="548896C4" w14:textId="77777777" w:rsidR="00B42B38" w:rsidRPr="00B42B38" w:rsidRDefault="00B42B38" w:rsidP="00B42B38">
      <w:pPr>
        <w:pStyle w:val="BodyText"/>
        <w:spacing w:before="118" w:line="285" w:lineRule="auto"/>
        <w:ind w:left="104" w:right="117"/>
        <w:jc w:val="both"/>
        <w:rPr>
          <w:rFonts w:ascii="Lato" w:hAnsi="Lato"/>
        </w:rPr>
      </w:pPr>
      <w:r w:rsidRPr="00B42B38">
        <w:rPr>
          <w:rFonts w:ascii="Lato" w:hAnsi="Lato"/>
        </w:rPr>
        <w:t xml:space="preserve">The only way for turf managers to truly understand the Nutritional requirements of their turfgrass sward is to undertake soil and tissue analysis. Through a comprehensive turf specific soil analysis package, actual potassium levels within the soil can be determined. </w:t>
      </w:r>
      <w:proofErr w:type="gramStart"/>
      <w:r w:rsidRPr="00B42B38">
        <w:rPr>
          <w:rFonts w:ascii="Lato" w:hAnsi="Lato"/>
        </w:rPr>
        <w:t>However</w:t>
      </w:r>
      <w:proofErr w:type="gramEnd"/>
      <w:r w:rsidRPr="00B42B38">
        <w:rPr>
          <w:rFonts w:ascii="Lato" w:hAnsi="Lato"/>
        </w:rPr>
        <w:t xml:space="preserve"> as potassium present within the soil is often unavailable, a Plant Tissue Analysis will offer as accurate view of plant tissue composition, and can highlight any deficiencies that may be</w:t>
      </w:r>
      <w:r w:rsidRPr="00B42B38">
        <w:rPr>
          <w:rFonts w:ascii="Lato" w:hAnsi="Lato"/>
          <w:spacing w:val="1"/>
        </w:rPr>
        <w:t xml:space="preserve"> </w:t>
      </w:r>
      <w:r w:rsidRPr="00B42B38">
        <w:rPr>
          <w:rFonts w:ascii="Lato" w:hAnsi="Lato"/>
        </w:rPr>
        <w:t>present.</w:t>
      </w:r>
    </w:p>
    <w:p w14:paraId="170CCBCD" w14:textId="77777777" w:rsidR="00B42B38" w:rsidRPr="00B42B38" w:rsidRDefault="00B42B38" w:rsidP="00B42B38">
      <w:pPr>
        <w:pStyle w:val="BodyText"/>
        <w:spacing w:before="122" w:line="285" w:lineRule="auto"/>
        <w:ind w:left="104" w:right="117"/>
        <w:jc w:val="both"/>
        <w:rPr>
          <w:rFonts w:ascii="Lato" w:hAnsi="Lato"/>
        </w:rPr>
      </w:pPr>
      <w:r w:rsidRPr="00B42B38">
        <w:rPr>
          <w:rFonts w:ascii="Lato" w:hAnsi="Lato"/>
        </w:rPr>
        <w:t>When it comes to selecting appropriate potassium sources for turfgrass application, turf managers have many options available to them. The many available potassium sources all possess different characteristics with regards to analysis, solubility, plant safety and environmental impact. Some of the most common potassium sources are:</w:t>
      </w:r>
    </w:p>
    <w:p w14:paraId="60F32ED8" w14:textId="77777777" w:rsidR="00B42B38" w:rsidRPr="00B42B38" w:rsidRDefault="00B42B38" w:rsidP="00B42B38">
      <w:pPr>
        <w:pStyle w:val="BodyText"/>
        <w:spacing w:before="4"/>
        <w:rPr>
          <w:rFonts w:ascii="Lato" w:hAnsi="Lato"/>
          <w:sz w:val="14"/>
        </w:rPr>
      </w:pPr>
    </w:p>
    <w:tbl>
      <w:tblPr>
        <w:tblW w:w="0" w:type="auto"/>
        <w:tblInd w:w="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5"/>
        <w:gridCol w:w="850"/>
        <w:gridCol w:w="851"/>
        <w:gridCol w:w="1275"/>
        <w:gridCol w:w="1689"/>
      </w:tblGrid>
      <w:tr w:rsidR="00B42B38" w:rsidRPr="00B42B38" w14:paraId="29F5BFA5" w14:textId="77777777" w:rsidTr="008E56C9">
        <w:trPr>
          <w:trHeight w:val="478"/>
        </w:trPr>
        <w:tc>
          <w:tcPr>
            <w:tcW w:w="2225" w:type="dxa"/>
          </w:tcPr>
          <w:p w14:paraId="6C58F739" w14:textId="77777777" w:rsidR="00B42B38" w:rsidRPr="00B42B38" w:rsidRDefault="00B42B38" w:rsidP="008E56C9">
            <w:pPr>
              <w:pStyle w:val="TableParagraph"/>
              <w:spacing w:before="119"/>
              <w:ind w:left="745"/>
              <w:jc w:val="left"/>
              <w:rPr>
                <w:rFonts w:ascii="Lato" w:hAnsi="Lato"/>
                <w:b/>
                <w:sz w:val="20"/>
              </w:rPr>
            </w:pPr>
            <w:r w:rsidRPr="00B42B38">
              <w:rPr>
                <w:rFonts w:ascii="Lato" w:hAnsi="Lato"/>
                <w:b/>
                <w:sz w:val="20"/>
              </w:rPr>
              <w:t>K Source</w:t>
            </w:r>
          </w:p>
        </w:tc>
        <w:tc>
          <w:tcPr>
            <w:tcW w:w="850" w:type="dxa"/>
          </w:tcPr>
          <w:p w14:paraId="2C112EFC" w14:textId="77777777" w:rsidR="00B42B38" w:rsidRPr="00B42B38" w:rsidRDefault="00B42B38" w:rsidP="008E56C9">
            <w:pPr>
              <w:pStyle w:val="TableParagraph"/>
              <w:spacing w:before="119"/>
              <w:ind w:left="247" w:right="231"/>
              <w:rPr>
                <w:rFonts w:ascii="Lato" w:hAnsi="Lato"/>
                <w:b/>
                <w:sz w:val="20"/>
              </w:rPr>
            </w:pPr>
            <w:r w:rsidRPr="00B42B38">
              <w:rPr>
                <w:rFonts w:ascii="Lato" w:hAnsi="Lato"/>
                <w:b/>
                <w:sz w:val="20"/>
              </w:rPr>
              <w:t>% K</w:t>
            </w:r>
          </w:p>
        </w:tc>
        <w:tc>
          <w:tcPr>
            <w:tcW w:w="851" w:type="dxa"/>
          </w:tcPr>
          <w:p w14:paraId="2A4434F7" w14:textId="77777777" w:rsidR="00B42B38" w:rsidRPr="00B42B38" w:rsidRDefault="00B42B38" w:rsidP="008E56C9">
            <w:pPr>
              <w:pStyle w:val="TableParagraph"/>
              <w:spacing w:line="241" w:lineRule="exact"/>
              <w:ind w:left="263"/>
              <w:jc w:val="left"/>
              <w:rPr>
                <w:rFonts w:ascii="Lato" w:hAnsi="Lato"/>
                <w:b/>
                <w:sz w:val="20"/>
              </w:rPr>
            </w:pPr>
            <w:r w:rsidRPr="00B42B38">
              <w:rPr>
                <w:rFonts w:ascii="Lato" w:hAnsi="Lato"/>
                <w:b/>
                <w:sz w:val="20"/>
              </w:rPr>
              <w:t>Salt</w:t>
            </w:r>
          </w:p>
          <w:p w14:paraId="15B0C325" w14:textId="77777777" w:rsidR="00B42B38" w:rsidRPr="00B42B38" w:rsidRDefault="00B42B38" w:rsidP="008E56C9">
            <w:pPr>
              <w:pStyle w:val="TableParagraph"/>
              <w:spacing w:before="1" w:line="216" w:lineRule="exact"/>
              <w:ind w:left="188"/>
              <w:jc w:val="left"/>
              <w:rPr>
                <w:rFonts w:ascii="Lato" w:hAnsi="Lato"/>
                <w:b/>
                <w:sz w:val="20"/>
              </w:rPr>
            </w:pPr>
            <w:r w:rsidRPr="00B42B38">
              <w:rPr>
                <w:rFonts w:ascii="Lato" w:hAnsi="Lato"/>
                <w:b/>
                <w:sz w:val="20"/>
              </w:rPr>
              <w:t>Index</w:t>
            </w:r>
          </w:p>
        </w:tc>
        <w:tc>
          <w:tcPr>
            <w:tcW w:w="1275" w:type="dxa"/>
          </w:tcPr>
          <w:p w14:paraId="393B2CFF" w14:textId="77777777" w:rsidR="00B42B38" w:rsidRPr="00B42B38" w:rsidRDefault="00B42B38" w:rsidP="008E56C9">
            <w:pPr>
              <w:pStyle w:val="TableParagraph"/>
              <w:spacing w:before="119"/>
              <w:ind w:left="133" w:right="118"/>
              <w:rPr>
                <w:rFonts w:ascii="Lato" w:hAnsi="Lato"/>
                <w:b/>
                <w:sz w:val="20"/>
              </w:rPr>
            </w:pPr>
            <w:r w:rsidRPr="00B42B38">
              <w:rPr>
                <w:rFonts w:ascii="Lato" w:hAnsi="Lato"/>
                <w:b/>
                <w:sz w:val="20"/>
              </w:rPr>
              <w:t>Longevity</w:t>
            </w:r>
          </w:p>
        </w:tc>
        <w:tc>
          <w:tcPr>
            <w:tcW w:w="1689" w:type="dxa"/>
          </w:tcPr>
          <w:p w14:paraId="2E3A0236" w14:textId="77777777" w:rsidR="00B42B38" w:rsidRPr="00B42B38" w:rsidRDefault="00B42B38" w:rsidP="008E56C9">
            <w:pPr>
              <w:pStyle w:val="TableParagraph"/>
              <w:spacing w:line="241" w:lineRule="exact"/>
              <w:ind w:left="204" w:right="186"/>
              <w:rPr>
                <w:rFonts w:ascii="Lato" w:hAnsi="Lato"/>
                <w:b/>
                <w:sz w:val="20"/>
              </w:rPr>
            </w:pPr>
            <w:r w:rsidRPr="00B42B38">
              <w:rPr>
                <w:rFonts w:ascii="Lato" w:hAnsi="Lato"/>
                <w:b/>
                <w:sz w:val="20"/>
              </w:rPr>
              <w:t xml:space="preserve">Agronomic </w:t>
            </w:r>
            <w:proofErr w:type="spellStart"/>
            <w:r w:rsidRPr="00B42B38">
              <w:rPr>
                <w:rFonts w:ascii="Lato" w:hAnsi="Lato"/>
                <w:b/>
                <w:sz w:val="20"/>
              </w:rPr>
              <w:t>Im</w:t>
            </w:r>
            <w:proofErr w:type="spellEnd"/>
            <w:r w:rsidRPr="00B42B38">
              <w:rPr>
                <w:rFonts w:ascii="Lato" w:hAnsi="Lato"/>
                <w:b/>
                <w:sz w:val="20"/>
              </w:rPr>
              <w:t>-</w:t>
            </w:r>
          </w:p>
          <w:p w14:paraId="0273A7B7" w14:textId="77777777" w:rsidR="00B42B38" w:rsidRPr="00B42B38" w:rsidRDefault="00B42B38" w:rsidP="008E56C9">
            <w:pPr>
              <w:pStyle w:val="TableParagraph"/>
              <w:spacing w:before="1" w:line="216" w:lineRule="exact"/>
              <w:ind w:left="204" w:right="184"/>
              <w:rPr>
                <w:rFonts w:ascii="Lato" w:hAnsi="Lato"/>
                <w:b/>
                <w:sz w:val="20"/>
              </w:rPr>
            </w:pPr>
            <w:r w:rsidRPr="00B42B38">
              <w:rPr>
                <w:rFonts w:ascii="Lato" w:hAnsi="Lato"/>
                <w:b/>
                <w:sz w:val="20"/>
              </w:rPr>
              <w:t>pact</w:t>
            </w:r>
          </w:p>
        </w:tc>
      </w:tr>
      <w:tr w:rsidR="00B42B38" w:rsidRPr="00B42B38" w14:paraId="68A46B22" w14:textId="77777777" w:rsidTr="008E56C9">
        <w:trPr>
          <w:trHeight w:val="478"/>
        </w:trPr>
        <w:tc>
          <w:tcPr>
            <w:tcW w:w="2225" w:type="dxa"/>
          </w:tcPr>
          <w:p w14:paraId="53C5DE35" w14:textId="77777777" w:rsidR="00B42B38" w:rsidRPr="00B42B38" w:rsidRDefault="00B42B38" w:rsidP="008E56C9">
            <w:pPr>
              <w:pStyle w:val="TableParagraph"/>
              <w:spacing w:line="239" w:lineRule="exact"/>
              <w:jc w:val="left"/>
              <w:rPr>
                <w:rFonts w:ascii="Lato" w:hAnsi="Lato"/>
                <w:sz w:val="20"/>
              </w:rPr>
            </w:pPr>
            <w:r w:rsidRPr="00B42B38">
              <w:rPr>
                <w:rFonts w:ascii="Lato" w:hAnsi="Lato"/>
                <w:sz w:val="20"/>
              </w:rPr>
              <w:t>Muriate of Potash</w:t>
            </w:r>
          </w:p>
          <w:p w14:paraId="68EA69BF" w14:textId="77777777" w:rsidR="00B42B38" w:rsidRPr="00B42B38" w:rsidRDefault="00B42B38" w:rsidP="008E56C9">
            <w:pPr>
              <w:pStyle w:val="TableParagraph"/>
              <w:spacing w:line="218" w:lineRule="exact"/>
              <w:jc w:val="left"/>
              <w:rPr>
                <w:rFonts w:ascii="Lato" w:hAnsi="Lato"/>
                <w:sz w:val="20"/>
              </w:rPr>
            </w:pPr>
            <w:r w:rsidRPr="00B42B38">
              <w:rPr>
                <w:rFonts w:ascii="Lato" w:hAnsi="Lato"/>
                <w:sz w:val="20"/>
              </w:rPr>
              <w:t>(Potassium Chloride)</w:t>
            </w:r>
          </w:p>
        </w:tc>
        <w:tc>
          <w:tcPr>
            <w:tcW w:w="850" w:type="dxa"/>
          </w:tcPr>
          <w:p w14:paraId="03E7C412" w14:textId="77777777" w:rsidR="00B42B38" w:rsidRPr="00B42B38" w:rsidRDefault="00B42B38" w:rsidP="008E56C9">
            <w:pPr>
              <w:pStyle w:val="TableParagraph"/>
              <w:spacing w:before="117"/>
              <w:ind w:left="247" w:right="229"/>
              <w:rPr>
                <w:rFonts w:ascii="Lato" w:hAnsi="Lato"/>
                <w:sz w:val="20"/>
              </w:rPr>
            </w:pPr>
            <w:r w:rsidRPr="00B42B38">
              <w:rPr>
                <w:rFonts w:ascii="Lato" w:hAnsi="Lato"/>
                <w:sz w:val="20"/>
              </w:rPr>
              <w:t>50</w:t>
            </w:r>
          </w:p>
        </w:tc>
        <w:tc>
          <w:tcPr>
            <w:tcW w:w="851" w:type="dxa"/>
          </w:tcPr>
          <w:p w14:paraId="6D59876E" w14:textId="77777777" w:rsidR="00B42B38" w:rsidRPr="00B42B38" w:rsidRDefault="00B42B38" w:rsidP="008E56C9">
            <w:pPr>
              <w:pStyle w:val="TableParagraph"/>
              <w:spacing w:before="117"/>
              <w:ind w:left="0" w:right="250"/>
              <w:jc w:val="right"/>
              <w:rPr>
                <w:rFonts w:ascii="Lato" w:hAnsi="Lato"/>
                <w:sz w:val="20"/>
              </w:rPr>
            </w:pPr>
            <w:r w:rsidRPr="00B42B38">
              <w:rPr>
                <w:rFonts w:ascii="Lato" w:hAnsi="Lato"/>
                <w:w w:val="95"/>
                <w:sz w:val="20"/>
              </w:rPr>
              <w:t>120</w:t>
            </w:r>
          </w:p>
        </w:tc>
        <w:tc>
          <w:tcPr>
            <w:tcW w:w="1275" w:type="dxa"/>
          </w:tcPr>
          <w:p w14:paraId="1EAD7D33" w14:textId="77777777" w:rsidR="00B42B38" w:rsidRPr="00B42B38" w:rsidRDefault="00B42B38" w:rsidP="008E56C9">
            <w:pPr>
              <w:pStyle w:val="TableParagraph"/>
              <w:spacing w:before="117"/>
              <w:ind w:left="136" w:right="118"/>
              <w:rPr>
                <w:rFonts w:ascii="Lato" w:hAnsi="Lato"/>
                <w:sz w:val="20"/>
              </w:rPr>
            </w:pPr>
            <w:r w:rsidRPr="00B42B38">
              <w:rPr>
                <w:rFonts w:ascii="Lato" w:hAnsi="Lato"/>
                <w:sz w:val="20"/>
              </w:rPr>
              <w:t>4 – 6 weeks</w:t>
            </w:r>
          </w:p>
        </w:tc>
        <w:tc>
          <w:tcPr>
            <w:tcW w:w="1689" w:type="dxa"/>
          </w:tcPr>
          <w:p w14:paraId="00A8D949" w14:textId="77777777" w:rsidR="00B42B38" w:rsidRPr="00B42B38" w:rsidRDefault="00B42B38" w:rsidP="008E56C9">
            <w:pPr>
              <w:pStyle w:val="TableParagraph"/>
              <w:spacing w:before="117"/>
              <w:ind w:left="204" w:right="183"/>
              <w:rPr>
                <w:rFonts w:ascii="Lato" w:hAnsi="Lato"/>
                <w:sz w:val="20"/>
              </w:rPr>
            </w:pPr>
            <w:r w:rsidRPr="00B42B38">
              <w:rPr>
                <w:rFonts w:ascii="Lato" w:hAnsi="Lato"/>
                <w:sz w:val="20"/>
              </w:rPr>
              <w:t>High</w:t>
            </w:r>
          </w:p>
        </w:tc>
      </w:tr>
      <w:tr w:rsidR="00B42B38" w:rsidRPr="00B42B38" w14:paraId="1ACEE408" w14:textId="77777777" w:rsidTr="008E56C9">
        <w:trPr>
          <w:trHeight w:val="330"/>
        </w:trPr>
        <w:tc>
          <w:tcPr>
            <w:tcW w:w="2225" w:type="dxa"/>
          </w:tcPr>
          <w:p w14:paraId="06AED83D" w14:textId="77777777" w:rsidR="00B42B38" w:rsidRPr="00B42B38" w:rsidRDefault="00B42B38" w:rsidP="008E56C9">
            <w:pPr>
              <w:pStyle w:val="TableParagraph"/>
              <w:spacing w:before="43"/>
              <w:jc w:val="left"/>
              <w:rPr>
                <w:rFonts w:ascii="Lato" w:hAnsi="Lato"/>
                <w:sz w:val="20"/>
              </w:rPr>
            </w:pPr>
            <w:r w:rsidRPr="00B42B38">
              <w:rPr>
                <w:rFonts w:ascii="Lato" w:hAnsi="Lato"/>
                <w:sz w:val="20"/>
              </w:rPr>
              <w:t>Potassium Nitrate</w:t>
            </w:r>
          </w:p>
        </w:tc>
        <w:tc>
          <w:tcPr>
            <w:tcW w:w="850" w:type="dxa"/>
          </w:tcPr>
          <w:p w14:paraId="7CAA55C7" w14:textId="77777777" w:rsidR="00B42B38" w:rsidRPr="00B42B38" w:rsidRDefault="00B42B38" w:rsidP="008E56C9">
            <w:pPr>
              <w:pStyle w:val="TableParagraph"/>
              <w:spacing w:before="43"/>
              <w:ind w:left="247" w:right="229"/>
              <w:rPr>
                <w:rFonts w:ascii="Lato" w:hAnsi="Lato"/>
                <w:sz w:val="20"/>
              </w:rPr>
            </w:pPr>
            <w:r w:rsidRPr="00B42B38">
              <w:rPr>
                <w:rFonts w:ascii="Lato" w:hAnsi="Lato"/>
                <w:sz w:val="20"/>
              </w:rPr>
              <w:t>38</w:t>
            </w:r>
          </w:p>
        </w:tc>
        <w:tc>
          <w:tcPr>
            <w:tcW w:w="851" w:type="dxa"/>
          </w:tcPr>
          <w:p w14:paraId="2DA9A749" w14:textId="77777777" w:rsidR="00B42B38" w:rsidRPr="00B42B38" w:rsidRDefault="00B42B38" w:rsidP="008E56C9">
            <w:pPr>
              <w:pStyle w:val="TableParagraph"/>
              <w:spacing w:before="43"/>
              <w:ind w:left="0" w:right="298"/>
              <w:jc w:val="right"/>
              <w:rPr>
                <w:rFonts w:ascii="Lato" w:hAnsi="Lato"/>
                <w:sz w:val="20"/>
              </w:rPr>
            </w:pPr>
            <w:r w:rsidRPr="00B42B38">
              <w:rPr>
                <w:rFonts w:ascii="Lato" w:hAnsi="Lato"/>
                <w:w w:val="95"/>
                <w:sz w:val="20"/>
              </w:rPr>
              <w:t>74</w:t>
            </w:r>
          </w:p>
        </w:tc>
        <w:tc>
          <w:tcPr>
            <w:tcW w:w="1275" w:type="dxa"/>
          </w:tcPr>
          <w:p w14:paraId="608355E3" w14:textId="77777777" w:rsidR="00B42B38" w:rsidRPr="00B42B38" w:rsidRDefault="00B42B38" w:rsidP="008E56C9">
            <w:pPr>
              <w:pStyle w:val="TableParagraph"/>
              <w:spacing w:before="43"/>
              <w:ind w:left="136" w:right="118"/>
              <w:rPr>
                <w:rFonts w:ascii="Lato" w:hAnsi="Lato"/>
                <w:sz w:val="20"/>
              </w:rPr>
            </w:pPr>
            <w:r w:rsidRPr="00B42B38">
              <w:rPr>
                <w:rFonts w:ascii="Lato" w:hAnsi="Lato"/>
                <w:sz w:val="20"/>
              </w:rPr>
              <w:t>4 – 6 weeks</w:t>
            </w:r>
          </w:p>
        </w:tc>
        <w:tc>
          <w:tcPr>
            <w:tcW w:w="1689" w:type="dxa"/>
          </w:tcPr>
          <w:p w14:paraId="2982D26A" w14:textId="77777777" w:rsidR="00B42B38" w:rsidRPr="00B42B38" w:rsidRDefault="00B42B38" w:rsidP="008E56C9">
            <w:pPr>
              <w:pStyle w:val="TableParagraph"/>
              <w:spacing w:before="43"/>
              <w:ind w:left="202" w:right="186"/>
              <w:rPr>
                <w:rFonts w:ascii="Lato" w:hAnsi="Lato"/>
                <w:sz w:val="20"/>
              </w:rPr>
            </w:pPr>
            <w:r w:rsidRPr="00B42B38">
              <w:rPr>
                <w:rFonts w:ascii="Lato" w:hAnsi="Lato"/>
                <w:sz w:val="20"/>
              </w:rPr>
              <w:t>Moderate</w:t>
            </w:r>
          </w:p>
        </w:tc>
      </w:tr>
      <w:tr w:rsidR="00B42B38" w:rsidRPr="00B42B38" w14:paraId="1355CAEE" w14:textId="77777777" w:rsidTr="008E56C9">
        <w:trPr>
          <w:trHeight w:val="478"/>
        </w:trPr>
        <w:tc>
          <w:tcPr>
            <w:tcW w:w="2225" w:type="dxa"/>
          </w:tcPr>
          <w:p w14:paraId="0E0ED13D" w14:textId="77777777" w:rsidR="00B42B38" w:rsidRPr="00B42B38" w:rsidRDefault="00B42B38" w:rsidP="008E56C9">
            <w:pPr>
              <w:pStyle w:val="TableParagraph"/>
              <w:spacing w:line="240" w:lineRule="exact"/>
              <w:jc w:val="left"/>
              <w:rPr>
                <w:rFonts w:ascii="Lato" w:hAnsi="Lato"/>
                <w:sz w:val="20"/>
              </w:rPr>
            </w:pPr>
            <w:r w:rsidRPr="00B42B38">
              <w:rPr>
                <w:rFonts w:ascii="Lato" w:hAnsi="Lato"/>
                <w:sz w:val="20"/>
              </w:rPr>
              <w:t>Potassium Magnesium</w:t>
            </w:r>
          </w:p>
          <w:p w14:paraId="697DCBD4" w14:textId="77777777" w:rsidR="00B42B38" w:rsidRPr="00B42B38" w:rsidRDefault="00B42B38" w:rsidP="008E56C9">
            <w:pPr>
              <w:pStyle w:val="TableParagraph"/>
              <w:spacing w:line="218" w:lineRule="exact"/>
              <w:jc w:val="left"/>
              <w:rPr>
                <w:rFonts w:ascii="Lato" w:hAnsi="Lato"/>
                <w:sz w:val="20"/>
              </w:rPr>
            </w:pPr>
            <w:r w:rsidRPr="00B42B38">
              <w:rPr>
                <w:rFonts w:ascii="Lato" w:hAnsi="Lato"/>
                <w:sz w:val="20"/>
              </w:rPr>
              <w:t>Sulphate (K-Mag)</w:t>
            </w:r>
          </w:p>
        </w:tc>
        <w:tc>
          <w:tcPr>
            <w:tcW w:w="850" w:type="dxa"/>
          </w:tcPr>
          <w:p w14:paraId="1A016679" w14:textId="77777777" w:rsidR="00B42B38" w:rsidRPr="00B42B38" w:rsidRDefault="00B42B38" w:rsidP="008E56C9">
            <w:pPr>
              <w:pStyle w:val="TableParagraph"/>
              <w:spacing w:before="118"/>
              <w:ind w:left="247" w:right="229"/>
              <w:rPr>
                <w:rFonts w:ascii="Lato" w:hAnsi="Lato"/>
                <w:sz w:val="20"/>
              </w:rPr>
            </w:pPr>
            <w:r w:rsidRPr="00B42B38">
              <w:rPr>
                <w:rFonts w:ascii="Lato" w:hAnsi="Lato"/>
                <w:sz w:val="20"/>
              </w:rPr>
              <w:t>38</w:t>
            </w:r>
          </w:p>
        </w:tc>
        <w:tc>
          <w:tcPr>
            <w:tcW w:w="851" w:type="dxa"/>
          </w:tcPr>
          <w:p w14:paraId="42C4FD5C" w14:textId="77777777" w:rsidR="00B42B38" w:rsidRPr="00B42B38" w:rsidRDefault="00B42B38" w:rsidP="008E56C9">
            <w:pPr>
              <w:pStyle w:val="TableParagraph"/>
              <w:spacing w:before="118"/>
              <w:ind w:left="0" w:right="298"/>
              <w:jc w:val="right"/>
              <w:rPr>
                <w:rFonts w:ascii="Lato" w:hAnsi="Lato"/>
                <w:sz w:val="20"/>
              </w:rPr>
            </w:pPr>
            <w:r w:rsidRPr="00B42B38">
              <w:rPr>
                <w:rFonts w:ascii="Lato" w:hAnsi="Lato"/>
                <w:w w:val="95"/>
                <w:sz w:val="20"/>
              </w:rPr>
              <w:t>43</w:t>
            </w:r>
          </w:p>
        </w:tc>
        <w:tc>
          <w:tcPr>
            <w:tcW w:w="1275" w:type="dxa"/>
          </w:tcPr>
          <w:p w14:paraId="1A387E40" w14:textId="77777777" w:rsidR="00B42B38" w:rsidRPr="00B42B38" w:rsidRDefault="00B42B38" w:rsidP="008E56C9">
            <w:pPr>
              <w:pStyle w:val="TableParagraph"/>
              <w:spacing w:before="118"/>
              <w:ind w:left="136" w:right="118"/>
              <w:rPr>
                <w:rFonts w:ascii="Lato" w:hAnsi="Lato"/>
                <w:sz w:val="20"/>
              </w:rPr>
            </w:pPr>
            <w:r w:rsidRPr="00B42B38">
              <w:rPr>
                <w:rFonts w:ascii="Lato" w:hAnsi="Lato"/>
                <w:sz w:val="20"/>
              </w:rPr>
              <w:t>4 – 6 weeks</w:t>
            </w:r>
          </w:p>
        </w:tc>
        <w:tc>
          <w:tcPr>
            <w:tcW w:w="1689" w:type="dxa"/>
          </w:tcPr>
          <w:p w14:paraId="04503033" w14:textId="77777777" w:rsidR="00B42B38" w:rsidRPr="00B42B38" w:rsidRDefault="00B42B38" w:rsidP="008E56C9">
            <w:pPr>
              <w:pStyle w:val="TableParagraph"/>
              <w:spacing w:before="118"/>
              <w:ind w:left="203" w:right="186"/>
              <w:rPr>
                <w:rFonts w:ascii="Lato" w:hAnsi="Lato"/>
                <w:sz w:val="20"/>
              </w:rPr>
            </w:pPr>
            <w:r w:rsidRPr="00B42B38">
              <w:rPr>
                <w:rFonts w:ascii="Lato" w:hAnsi="Lato"/>
                <w:sz w:val="20"/>
              </w:rPr>
              <w:t>Low</w:t>
            </w:r>
          </w:p>
        </w:tc>
      </w:tr>
      <w:tr w:rsidR="00B42B38" w:rsidRPr="00B42B38" w14:paraId="01953C7E" w14:textId="77777777" w:rsidTr="008E56C9">
        <w:trPr>
          <w:trHeight w:val="478"/>
        </w:trPr>
        <w:tc>
          <w:tcPr>
            <w:tcW w:w="2225" w:type="dxa"/>
          </w:tcPr>
          <w:p w14:paraId="5D56BAFD" w14:textId="77777777" w:rsidR="00B42B38" w:rsidRPr="00B42B38" w:rsidRDefault="00B42B38" w:rsidP="008E56C9">
            <w:pPr>
              <w:pStyle w:val="TableParagraph"/>
              <w:spacing w:before="118"/>
              <w:jc w:val="left"/>
              <w:rPr>
                <w:rFonts w:ascii="Lato" w:hAnsi="Lato"/>
                <w:sz w:val="20"/>
              </w:rPr>
            </w:pPr>
            <w:r w:rsidRPr="00B42B38">
              <w:rPr>
                <w:rFonts w:ascii="Lato" w:hAnsi="Lato"/>
                <w:sz w:val="20"/>
              </w:rPr>
              <w:t>Sulphate of Potash</w:t>
            </w:r>
          </w:p>
        </w:tc>
        <w:tc>
          <w:tcPr>
            <w:tcW w:w="850" w:type="dxa"/>
          </w:tcPr>
          <w:p w14:paraId="63507465" w14:textId="77777777" w:rsidR="00B42B38" w:rsidRPr="00B42B38" w:rsidRDefault="00B42B38" w:rsidP="008E56C9">
            <w:pPr>
              <w:pStyle w:val="TableParagraph"/>
              <w:spacing w:before="118"/>
              <w:ind w:left="247" w:right="229"/>
              <w:rPr>
                <w:rFonts w:ascii="Lato" w:hAnsi="Lato"/>
                <w:sz w:val="20"/>
              </w:rPr>
            </w:pPr>
            <w:r w:rsidRPr="00B42B38">
              <w:rPr>
                <w:rFonts w:ascii="Lato" w:hAnsi="Lato"/>
                <w:sz w:val="20"/>
              </w:rPr>
              <w:t>41</w:t>
            </w:r>
          </w:p>
        </w:tc>
        <w:tc>
          <w:tcPr>
            <w:tcW w:w="851" w:type="dxa"/>
          </w:tcPr>
          <w:p w14:paraId="208E2388" w14:textId="77777777" w:rsidR="00B42B38" w:rsidRPr="00B42B38" w:rsidRDefault="00B42B38" w:rsidP="008E56C9">
            <w:pPr>
              <w:pStyle w:val="TableParagraph"/>
              <w:spacing w:before="118"/>
              <w:ind w:left="0" w:right="298"/>
              <w:jc w:val="right"/>
              <w:rPr>
                <w:rFonts w:ascii="Lato" w:hAnsi="Lato"/>
                <w:sz w:val="20"/>
              </w:rPr>
            </w:pPr>
            <w:r w:rsidRPr="00B42B38">
              <w:rPr>
                <w:rFonts w:ascii="Lato" w:hAnsi="Lato"/>
                <w:w w:val="95"/>
                <w:sz w:val="20"/>
              </w:rPr>
              <w:t>46</w:t>
            </w:r>
          </w:p>
        </w:tc>
        <w:tc>
          <w:tcPr>
            <w:tcW w:w="1275" w:type="dxa"/>
          </w:tcPr>
          <w:p w14:paraId="07F5CDE9" w14:textId="77777777" w:rsidR="00B42B38" w:rsidRPr="00B42B38" w:rsidRDefault="00B42B38" w:rsidP="008E56C9">
            <w:pPr>
              <w:pStyle w:val="TableParagraph"/>
              <w:spacing w:line="240" w:lineRule="exact"/>
              <w:ind w:left="384"/>
              <w:jc w:val="left"/>
              <w:rPr>
                <w:rFonts w:ascii="Lato" w:hAnsi="Lato"/>
                <w:sz w:val="20"/>
              </w:rPr>
            </w:pPr>
            <w:r w:rsidRPr="00B42B38">
              <w:rPr>
                <w:rFonts w:ascii="Lato" w:hAnsi="Lato"/>
                <w:sz w:val="20"/>
              </w:rPr>
              <w:t>6 –</w:t>
            </w:r>
            <w:r w:rsidRPr="00B42B38">
              <w:rPr>
                <w:rFonts w:ascii="Lato" w:hAnsi="Lato"/>
                <w:spacing w:val="-3"/>
                <w:sz w:val="20"/>
              </w:rPr>
              <w:t xml:space="preserve"> </w:t>
            </w:r>
            <w:r w:rsidRPr="00B42B38">
              <w:rPr>
                <w:rFonts w:ascii="Lato" w:hAnsi="Lato"/>
                <w:sz w:val="20"/>
              </w:rPr>
              <w:t>10</w:t>
            </w:r>
          </w:p>
          <w:p w14:paraId="7BE90B47" w14:textId="77777777" w:rsidR="00B42B38" w:rsidRPr="00B42B38" w:rsidRDefault="00B42B38" w:rsidP="008E56C9">
            <w:pPr>
              <w:pStyle w:val="TableParagraph"/>
              <w:spacing w:line="217" w:lineRule="exact"/>
              <w:ind w:left="377"/>
              <w:jc w:val="left"/>
              <w:rPr>
                <w:rFonts w:ascii="Lato" w:hAnsi="Lato"/>
                <w:sz w:val="20"/>
              </w:rPr>
            </w:pPr>
            <w:r w:rsidRPr="00B42B38">
              <w:rPr>
                <w:rFonts w:ascii="Lato" w:hAnsi="Lato"/>
                <w:sz w:val="20"/>
              </w:rPr>
              <w:t>weeks</w:t>
            </w:r>
          </w:p>
        </w:tc>
        <w:tc>
          <w:tcPr>
            <w:tcW w:w="1689" w:type="dxa"/>
          </w:tcPr>
          <w:p w14:paraId="3662A65E" w14:textId="77777777" w:rsidR="00B42B38" w:rsidRPr="00B42B38" w:rsidRDefault="00B42B38" w:rsidP="008E56C9">
            <w:pPr>
              <w:pStyle w:val="TableParagraph"/>
              <w:spacing w:before="118"/>
              <w:ind w:left="203" w:right="186"/>
              <w:rPr>
                <w:rFonts w:ascii="Lato" w:hAnsi="Lato"/>
                <w:sz w:val="20"/>
              </w:rPr>
            </w:pPr>
            <w:r w:rsidRPr="00B42B38">
              <w:rPr>
                <w:rFonts w:ascii="Lato" w:hAnsi="Lato"/>
                <w:sz w:val="20"/>
              </w:rPr>
              <w:t>Low</w:t>
            </w:r>
          </w:p>
        </w:tc>
      </w:tr>
      <w:tr w:rsidR="00B42B38" w:rsidRPr="00B42B38" w14:paraId="413191E3" w14:textId="77777777" w:rsidTr="008E56C9">
        <w:trPr>
          <w:trHeight w:val="330"/>
        </w:trPr>
        <w:tc>
          <w:tcPr>
            <w:tcW w:w="2225" w:type="dxa"/>
          </w:tcPr>
          <w:p w14:paraId="553E672B" w14:textId="77777777" w:rsidR="00B42B38" w:rsidRPr="00B42B38" w:rsidRDefault="00B42B38" w:rsidP="008E56C9">
            <w:pPr>
              <w:pStyle w:val="TableParagraph"/>
              <w:spacing w:before="44"/>
              <w:jc w:val="left"/>
              <w:rPr>
                <w:rFonts w:ascii="Lato" w:hAnsi="Lato"/>
                <w:sz w:val="20"/>
              </w:rPr>
            </w:pPr>
            <w:r w:rsidRPr="00B42B38">
              <w:rPr>
                <w:rFonts w:ascii="Lato" w:hAnsi="Lato"/>
                <w:sz w:val="20"/>
              </w:rPr>
              <w:t>Potassium Carbonate</w:t>
            </w:r>
          </w:p>
        </w:tc>
        <w:tc>
          <w:tcPr>
            <w:tcW w:w="850" w:type="dxa"/>
          </w:tcPr>
          <w:p w14:paraId="5608BBB5" w14:textId="77777777" w:rsidR="00B42B38" w:rsidRPr="00B42B38" w:rsidRDefault="00B42B38" w:rsidP="008E56C9">
            <w:pPr>
              <w:pStyle w:val="TableParagraph"/>
              <w:spacing w:before="44"/>
              <w:ind w:left="247" w:right="229"/>
              <w:rPr>
                <w:rFonts w:ascii="Lato" w:hAnsi="Lato"/>
                <w:sz w:val="20"/>
              </w:rPr>
            </w:pPr>
            <w:r w:rsidRPr="00B42B38">
              <w:rPr>
                <w:rFonts w:ascii="Lato" w:hAnsi="Lato"/>
                <w:sz w:val="20"/>
              </w:rPr>
              <w:t>35</w:t>
            </w:r>
          </w:p>
        </w:tc>
        <w:tc>
          <w:tcPr>
            <w:tcW w:w="851" w:type="dxa"/>
          </w:tcPr>
          <w:p w14:paraId="2815E0F4" w14:textId="77777777" w:rsidR="00B42B38" w:rsidRPr="00B42B38" w:rsidRDefault="00B42B38" w:rsidP="008E56C9">
            <w:pPr>
              <w:pStyle w:val="TableParagraph"/>
              <w:spacing w:before="44"/>
              <w:ind w:left="0" w:right="298"/>
              <w:jc w:val="right"/>
              <w:rPr>
                <w:rFonts w:ascii="Lato" w:hAnsi="Lato"/>
                <w:sz w:val="20"/>
              </w:rPr>
            </w:pPr>
            <w:r w:rsidRPr="00B42B38">
              <w:rPr>
                <w:rFonts w:ascii="Lato" w:hAnsi="Lato"/>
                <w:w w:val="95"/>
                <w:sz w:val="20"/>
              </w:rPr>
              <w:t>20</w:t>
            </w:r>
          </w:p>
        </w:tc>
        <w:tc>
          <w:tcPr>
            <w:tcW w:w="1275" w:type="dxa"/>
          </w:tcPr>
          <w:p w14:paraId="6A63AE14" w14:textId="77777777" w:rsidR="00B42B38" w:rsidRPr="00B42B38" w:rsidRDefault="00B42B38" w:rsidP="008E56C9">
            <w:pPr>
              <w:pStyle w:val="TableParagraph"/>
              <w:spacing w:before="44"/>
              <w:ind w:left="134" w:right="118"/>
              <w:rPr>
                <w:rFonts w:ascii="Lato" w:hAnsi="Lato"/>
                <w:sz w:val="20"/>
              </w:rPr>
            </w:pPr>
            <w:r w:rsidRPr="00B42B38">
              <w:rPr>
                <w:rFonts w:ascii="Lato" w:hAnsi="Lato"/>
                <w:sz w:val="20"/>
              </w:rPr>
              <w:t>&gt;8 weeks</w:t>
            </w:r>
          </w:p>
        </w:tc>
        <w:tc>
          <w:tcPr>
            <w:tcW w:w="1689" w:type="dxa"/>
          </w:tcPr>
          <w:p w14:paraId="0D1A3360" w14:textId="77777777" w:rsidR="00B42B38" w:rsidRPr="00B42B38" w:rsidRDefault="00B42B38" w:rsidP="008E56C9">
            <w:pPr>
              <w:pStyle w:val="TableParagraph"/>
              <w:spacing w:before="44"/>
              <w:ind w:left="202" w:right="186"/>
              <w:rPr>
                <w:rFonts w:ascii="Lato" w:hAnsi="Lato"/>
                <w:sz w:val="20"/>
              </w:rPr>
            </w:pPr>
            <w:r w:rsidRPr="00B42B38">
              <w:rPr>
                <w:rFonts w:ascii="Lato" w:hAnsi="Lato"/>
                <w:sz w:val="20"/>
              </w:rPr>
              <w:t>Very Low</w:t>
            </w:r>
          </w:p>
        </w:tc>
      </w:tr>
      <w:tr w:rsidR="00B42B38" w:rsidRPr="00B42B38" w14:paraId="3D32828E" w14:textId="77777777" w:rsidTr="008E56C9">
        <w:trPr>
          <w:trHeight w:val="476"/>
        </w:trPr>
        <w:tc>
          <w:tcPr>
            <w:tcW w:w="2225" w:type="dxa"/>
          </w:tcPr>
          <w:p w14:paraId="25B68B28" w14:textId="77777777" w:rsidR="00B42B38" w:rsidRPr="00B42B38" w:rsidRDefault="00B42B38" w:rsidP="008E56C9">
            <w:pPr>
              <w:pStyle w:val="TableParagraph"/>
              <w:spacing w:before="119"/>
              <w:jc w:val="left"/>
              <w:rPr>
                <w:rFonts w:ascii="Lato" w:hAnsi="Lato"/>
                <w:sz w:val="20"/>
              </w:rPr>
            </w:pPr>
            <w:r w:rsidRPr="00B42B38">
              <w:rPr>
                <w:rFonts w:ascii="Lato" w:hAnsi="Lato"/>
                <w:sz w:val="20"/>
              </w:rPr>
              <w:t>Coated Potassium</w:t>
            </w:r>
          </w:p>
        </w:tc>
        <w:tc>
          <w:tcPr>
            <w:tcW w:w="850" w:type="dxa"/>
          </w:tcPr>
          <w:p w14:paraId="67054144" w14:textId="77777777" w:rsidR="00B42B38" w:rsidRPr="00B42B38" w:rsidRDefault="00B42B38" w:rsidP="008E56C9">
            <w:pPr>
              <w:pStyle w:val="TableParagraph"/>
              <w:spacing w:before="119"/>
              <w:ind w:left="247" w:right="229"/>
              <w:rPr>
                <w:rFonts w:ascii="Lato" w:hAnsi="Lato"/>
                <w:sz w:val="20"/>
              </w:rPr>
            </w:pPr>
            <w:r w:rsidRPr="00B42B38">
              <w:rPr>
                <w:rFonts w:ascii="Lato" w:hAnsi="Lato"/>
                <w:sz w:val="20"/>
              </w:rPr>
              <w:t>40</w:t>
            </w:r>
          </w:p>
        </w:tc>
        <w:tc>
          <w:tcPr>
            <w:tcW w:w="851" w:type="dxa"/>
          </w:tcPr>
          <w:p w14:paraId="4FA5AF56" w14:textId="77777777" w:rsidR="00B42B38" w:rsidRPr="00B42B38" w:rsidRDefault="00B42B38" w:rsidP="008E56C9">
            <w:pPr>
              <w:pStyle w:val="TableParagraph"/>
              <w:spacing w:before="119"/>
              <w:ind w:left="0" w:right="298"/>
              <w:jc w:val="right"/>
              <w:rPr>
                <w:rFonts w:ascii="Lato" w:hAnsi="Lato"/>
                <w:sz w:val="20"/>
              </w:rPr>
            </w:pPr>
            <w:r w:rsidRPr="00B42B38">
              <w:rPr>
                <w:rFonts w:ascii="Lato" w:hAnsi="Lato"/>
                <w:w w:val="95"/>
                <w:sz w:val="20"/>
              </w:rPr>
              <w:t>46</w:t>
            </w:r>
          </w:p>
        </w:tc>
        <w:tc>
          <w:tcPr>
            <w:tcW w:w="1275" w:type="dxa"/>
          </w:tcPr>
          <w:p w14:paraId="224443B8" w14:textId="77777777" w:rsidR="00B42B38" w:rsidRPr="00B42B38" w:rsidRDefault="00B42B38" w:rsidP="008E56C9">
            <w:pPr>
              <w:pStyle w:val="TableParagraph"/>
              <w:spacing w:line="241" w:lineRule="exact"/>
              <w:ind w:left="384"/>
              <w:jc w:val="left"/>
              <w:rPr>
                <w:rFonts w:ascii="Lato" w:hAnsi="Lato"/>
                <w:sz w:val="20"/>
              </w:rPr>
            </w:pPr>
            <w:r w:rsidRPr="00B42B38">
              <w:rPr>
                <w:rFonts w:ascii="Lato" w:hAnsi="Lato"/>
                <w:sz w:val="20"/>
              </w:rPr>
              <w:t>8 –</w:t>
            </w:r>
            <w:r w:rsidRPr="00B42B38">
              <w:rPr>
                <w:rFonts w:ascii="Lato" w:hAnsi="Lato"/>
                <w:spacing w:val="-3"/>
                <w:sz w:val="20"/>
              </w:rPr>
              <w:t xml:space="preserve"> </w:t>
            </w:r>
            <w:r w:rsidRPr="00B42B38">
              <w:rPr>
                <w:rFonts w:ascii="Lato" w:hAnsi="Lato"/>
                <w:sz w:val="20"/>
              </w:rPr>
              <w:t>12</w:t>
            </w:r>
          </w:p>
          <w:p w14:paraId="2FE6BCA4" w14:textId="77777777" w:rsidR="00B42B38" w:rsidRPr="00B42B38" w:rsidRDefault="00B42B38" w:rsidP="008E56C9">
            <w:pPr>
              <w:pStyle w:val="TableParagraph"/>
              <w:spacing w:before="1" w:line="215" w:lineRule="exact"/>
              <w:ind w:left="377"/>
              <w:jc w:val="left"/>
              <w:rPr>
                <w:rFonts w:ascii="Lato" w:hAnsi="Lato"/>
                <w:sz w:val="20"/>
              </w:rPr>
            </w:pPr>
            <w:r w:rsidRPr="00B42B38">
              <w:rPr>
                <w:rFonts w:ascii="Lato" w:hAnsi="Lato"/>
                <w:sz w:val="20"/>
              </w:rPr>
              <w:t>weeks</w:t>
            </w:r>
          </w:p>
        </w:tc>
        <w:tc>
          <w:tcPr>
            <w:tcW w:w="1689" w:type="dxa"/>
          </w:tcPr>
          <w:p w14:paraId="41DFAE67" w14:textId="77777777" w:rsidR="00B42B38" w:rsidRPr="00B42B38" w:rsidRDefault="00B42B38" w:rsidP="008E56C9">
            <w:pPr>
              <w:pStyle w:val="TableParagraph"/>
              <w:spacing w:before="119"/>
              <w:ind w:left="202" w:right="186"/>
              <w:rPr>
                <w:rFonts w:ascii="Lato" w:hAnsi="Lato"/>
                <w:sz w:val="20"/>
              </w:rPr>
            </w:pPr>
            <w:r w:rsidRPr="00B42B38">
              <w:rPr>
                <w:rFonts w:ascii="Lato" w:hAnsi="Lato"/>
                <w:sz w:val="20"/>
              </w:rPr>
              <w:t>Very Low</w:t>
            </w:r>
          </w:p>
        </w:tc>
      </w:tr>
    </w:tbl>
    <w:p w14:paraId="55C752F5" w14:textId="77777777" w:rsidR="00B42B38" w:rsidRPr="00B42B38" w:rsidRDefault="00B42B38" w:rsidP="00B42B38">
      <w:pPr>
        <w:pStyle w:val="BodyText"/>
        <w:rPr>
          <w:rFonts w:ascii="Lato" w:hAnsi="Lato"/>
        </w:rPr>
      </w:pPr>
    </w:p>
    <w:p w14:paraId="5AC664E2" w14:textId="77777777" w:rsidR="00B42B38" w:rsidRPr="00B42B38" w:rsidRDefault="00B42B38" w:rsidP="00B42B38">
      <w:pPr>
        <w:pStyle w:val="BodyText"/>
        <w:spacing w:before="10"/>
        <w:rPr>
          <w:rFonts w:ascii="Lato" w:hAnsi="Lato"/>
          <w:sz w:val="28"/>
        </w:rPr>
      </w:pPr>
    </w:p>
    <w:p w14:paraId="081910D1" w14:textId="170B5086" w:rsidR="00B42B38" w:rsidRPr="00B42B38" w:rsidRDefault="00B42B38" w:rsidP="00B42B38">
      <w:pPr>
        <w:pStyle w:val="BodyText"/>
        <w:spacing w:line="285" w:lineRule="auto"/>
        <w:ind w:left="104" w:right="167"/>
        <w:rPr>
          <w:rFonts w:ascii="Lato" w:hAnsi="Lato"/>
        </w:rPr>
      </w:pPr>
      <w:r w:rsidRPr="00B42B38">
        <w:rPr>
          <w:rFonts w:ascii="Lato" w:hAnsi="Lato"/>
        </w:rPr>
        <w:t xml:space="preserve">Now is the perfect time to be toughening up the plant through applications of fertilisers with an N:K ratio of 1:1 or 1:2. </w:t>
      </w:r>
      <w:r>
        <w:rPr>
          <w:rFonts w:ascii="Lato" w:hAnsi="Lato"/>
        </w:rPr>
        <w:t>Lawn Addicts</w:t>
      </w:r>
      <w:r w:rsidRPr="00B42B38">
        <w:rPr>
          <w:rFonts w:ascii="Lato" w:hAnsi="Lato"/>
        </w:rPr>
        <w:t xml:space="preserve"> stock a vast range of turf specific fertilisers, ideal for autumn application. </w:t>
      </w:r>
      <w:r>
        <w:rPr>
          <w:rFonts w:ascii="Lato" w:hAnsi="Lato"/>
        </w:rPr>
        <w:t>Message Lawn Addicts</w:t>
      </w:r>
      <w:r w:rsidRPr="00B42B38">
        <w:rPr>
          <w:rFonts w:ascii="Lato" w:hAnsi="Lato"/>
        </w:rPr>
        <w:t xml:space="preserve"> about potassium fertiliser options for </w:t>
      </w:r>
      <w:r>
        <w:rPr>
          <w:rFonts w:ascii="Lato" w:hAnsi="Lato"/>
        </w:rPr>
        <w:t>preparing</w:t>
      </w:r>
      <w:r w:rsidRPr="00B42B38">
        <w:rPr>
          <w:rFonts w:ascii="Lato" w:hAnsi="Lato"/>
        </w:rPr>
        <w:t xml:space="preserve"> your turf surfaces for winter, or visit</w:t>
      </w:r>
      <w:r>
        <w:rPr>
          <w:rFonts w:ascii="Lato" w:hAnsi="Lato"/>
        </w:rPr>
        <w:t xml:space="preserve"> </w:t>
      </w:r>
      <w:hyperlink r:id="rId6" w:history="1">
        <w:r w:rsidRPr="00B42B38">
          <w:rPr>
            <w:rStyle w:val="Hyperlink"/>
            <w:rFonts w:ascii="Lato" w:hAnsi="Lato"/>
          </w:rPr>
          <w:t>https://www.lawnaddicts</w:t>
        </w:r>
        <w:r w:rsidRPr="00B42B38">
          <w:rPr>
            <w:rStyle w:val="Hyperlink"/>
            <w:rFonts w:ascii="Lato" w:hAnsi="Lato"/>
          </w:rPr>
          <w:t>.com.au</w:t>
        </w:r>
      </w:hyperlink>
    </w:p>
    <w:p w14:paraId="44A6C5D1" w14:textId="48804FAE" w:rsidR="00B42B38" w:rsidRPr="00B42B38" w:rsidRDefault="00B42B38" w:rsidP="00B42B38">
      <w:pPr>
        <w:pStyle w:val="BodyText"/>
        <w:spacing w:before="1"/>
        <w:ind w:left="104"/>
        <w:rPr>
          <w:rFonts w:ascii="Lato" w:hAnsi="Lato"/>
        </w:rPr>
      </w:pPr>
      <w:r w:rsidRPr="00B42B38">
        <w:rPr>
          <w:rFonts w:ascii="Lato" w:hAnsi="Lato"/>
          <w:color w:val="0000FF"/>
          <w:spacing w:val="-56"/>
          <w:u w:val="single" w:color="0000FF"/>
        </w:rPr>
        <w:t xml:space="preserve"> </w:t>
      </w:r>
      <w:hyperlink r:id="rId7">
        <w:r w:rsidRPr="00B42B38">
          <w:rPr>
            <w:rFonts w:ascii="Lato" w:hAnsi="Lato"/>
            <w:color w:val="0000FF"/>
          </w:rPr>
          <w:t xml:space="preserve"> </w:t>
        </w:r>
      </w:hyperlink>
      <w:r w:rsidRPr="00B42B38">
        <w:rPr>
          <w:rFonts w:ascii="Lato" w:hAnsi="Lato"/>
        </w:rPr>
        <w:t xml:space="preserve">to view our </w:t>
      </w:r>
      <w:r>
        <w:rPr>
          <w:rFonts w:ascii="Lato" w:hAnsi="Lato"/>
        </w:rPr>
        <w:t>fertiliser</w:t>
      </w:r>
      <w:r w:rsidRPr="00B42B38">
        <w:rPr>
          <w:rFonts w:ascii="Lato" w:hAnsi="Lato"/>
        </w:rPr>
        <w:t xml:space="preserve"> range.</w:t>
      </w:r>
    </w:p>
    <w:p w14:paraId="4CFFBCFD" w14:textId="77777777" w:rsidR="00B42B38" w:rsidRDefault="00B42B38" w:rsidP="00B42B38">
      <w:pPr>
        <w:pStyle w:val="BodyText"/>
        <w:rPr>
          <w:sz w:val="20"/>
        </w:rPr>
      </w:pPr>
    </w:p>
    <w:p w14:paraId="4DF92D7D" w14:textId="52B1CC49" w:rsidR="00B42B38" w:rsidRDefault="00B42B38" w:rsidP="00B42B38">
      <w:pPr>
        <w:rPr>
          <w:b/>
          <w:sz w:val="20"/>
        </w:rPr>
      </w:pPr>
      <w:r>
        <w:rPr>
          <w:b/>
          <w:sz w:val="20"/>
        </w:rPr>
        <w:t xml:space="preserve">  </w:t>
      </w:r>
      <w:r>
        <w:rPr>
          <w:b/>
          <w:sz w:val="20"/>
        </w:rPr>
        <w:t>References</w:t>
      </w:r>
    </w:p>
    <w:p w14:paraId="37315212" w14:textId="77777777" w:rsidR="00B42B38" w:rsidRDefault="00B42B38" w:rsidP="00B42B38">
      <w:pPr>
        <w:spacing w:before="166" w:line="360" w:lineRule="auto"/>
        <w:ind w:left="104" w:right="167"/>
        <w:rPr>
          <w:sz w:val="20"/>
        </w:rPr>
      </w:pPr>
      <w:r>
        <w:rPr>
          <w:sz w:val="20"/>
        </w:rPr>
        <w:t>Thanking Globe Growing Solutions for access to their Technical Bulletin</w:t>
      </w:r>
    </w:p>
    <w:p w14:paraId="6B52F48A" w14:textId="3A5A59BC" w:rsidR="00B42B38" w:rsidRDefault="00B42B38" w:rsidP="00B42B38">
      <w:pPr>
        <w:spacing w:before="166" w:line="360" w:lineRule="auto"/>
        <w:ind w:left="104" w:right="167"/>
        <w:rPr>
          <w:sz w:val="20"/>
        </w:rPr>
      </w:pPr>
      <w:proofErr w:type="spellStart"/>
      <w:r>
        <w:rPr>
          <w:sz w:val="20"/>
        </w:rPr>
        <w:t>Handreck</w:t>
      </w:r>
      <w:proofErr w:type="spellEnd"/>
      <w:r>
        <w:rPr>
          <w:sz w:val="20"/>
        </w:rPr>
        <w:t xml:space="preserve"> K, Black N, 2010, Growing Media for Ornamental Plants and Turf (Fourth Edition), University of NSW Press Limited, Sydney, NSW.</w:t>
      </w:r>
    </w:p>
    <w:p w14:paraId="687C540E" w14:textId="77777777" w:rsidR="00B42B38" w:rsidRDefault="00B42B38" w:rsidP="00B42B38">
      <w:pPr>
        <w:spacing w:before="122"/>
        <w:ind w:left="104"/>
        <w:rPr>
          <w:sz w:val="20"/>
        </w:rPr>
      </w:pPr>
      <w:r>
        <w:rPr>
          <w:sz w:val="20"/>
        </w:rPr>
        <w:t>Beard JB, 1973, Turfgrass: Science and Culture, Prentice Hall Publishing Incorporated, Englewood Cliffs, NJ.</w:t>
      </w:r>
    </w:p>
    <w:sectPr w:rsidR="00B42B38" w:rsidSect="00B42B38">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4311B9"/>
    <w:multiLevelType w:val="hybridMultilevel"/>
    <w:tmpl w:val="0EA413D2"/>
    <w:lvl w:ilvl="0" w:tplc="ADF2C770">
      <w:numFmt w:val="bullet"/>
      <w:lvlText w:val=""/>
      <w:lvlJc w:val="left"/>
      <w:pPr>
        <w:ind w:left="1287" w:hanging="567"/>
      </w:pPr>
      <w:rPr>
        <w:rFonts w:ascii="Symbol" w:eastAsia="Symbol" w:hAnsi="Symbol" w:cs="Symbol" w:hint="default"/>
        <w:w w:val="99"/>
        <w:sz w:val="20"/>
        <w:szCs w:val="20"/>
        <w:lang w:val="en-AU" w:eastAsia="en-AU" w:bidi="en-AU"/>
      </w:rPr>
    </w:lvl>
    <w:lvl w:ilvl="1" w:tplc="C1E2AE2C">
      <w:numFmt w:val="bullet"/>
      <w:lvlText w:val="•"/>
      <w:lvlJc w:val="left"/>
      <w:pPr>
        <w:ind w:left="2277" w:hanging="567"/>
      </w:pPr>
      <w:rPr>
        <w:rFonts w:hint="default"/>
        <w:lang w:val="en-AU" w:eastAsia="en-AU" w:bidi="en-AU"/>
      </w:rPr>
    </w:lvl>
    <w:lvl w:ilvl="2" w:tplc="4B2A1FB4">
      <w:numFmt w:val="bullet"/>
      <w:lvlText w:val="•"/>
      <w:lvlJc w:val="left"/>
      <w:pPr>
        <w:ind w:left="3270" w:hanging="567"/>
      </w:pPr>
      <w:rPr>
        <w:rFonts w:hint="default"/>
        <w:lang w:val="en-AU" w:eastAsia="en-AU" w:bidi="en-AU"/>
      </w:rPr>
    </w:lvl>
    <w:lvl w:ilvl="3" w:tplc="84B815A0">
      <w:numFmt w:val="bullet"/>
      <w:lvlText w:val="•"/>
      <w:lvlJc w:val="left"/>
      <w:pPr>
        <w:ind w:left="4262" w:hanging="567"/>
      </w:pPr>
      <w:rPr>
        <w:rFonts w:hint="default"/>
        <w:lang w:val="en-AU" w:eastAsia="en-AU" w:bidi="en-AU"/>
      </w:rPr>
    </w:lvl>
    <w:lvl w:ilvl="4" w:tplc="F7425A22">
      <w:numFmt w:val="bullet"/>
      <w:lvlText w:val="•"/>
      <w:lvlJc w:val="left"/>
      <w:pPr>
        <w:ind w:left="5255" w:hanging="567"/>
      </w:pPr>
      <w:rPr>
        <w:rFonts w:hint="default"/>
        <w:lang w:val="en-AU" w:eastAsia="en-AU" w:bidi="en-AU"/>
      </w:rPr>
    </w:lvl>
    <w:lvl w:ilvl="5" w:tplc="419EDE2A">
      <w:numFmt w:val="bullet"/>
      <w:lvlText w:val="•"/>
      <w:lvlJc w:val="left"/>
      <w:pPr>
        <w:ind w:left="6248" w:hanging="567"/>
      </w:pPr>
      <w:rPr>
        <w:rFonts w:hint="default"/>
        <w:lang w:val="en-AU" w:eastAsia="en-AU" w:bidi="en-AU"/>
      </w:rPr>
    </w:lvl>
    <w:lvl w:ilvl="6" w:tplc="72742F8E">
      <w:numFmt w:val="bullet"/>
      <w:lvlText w:val="•"/>
      <w:lvlJc w:val="left"/>
      <w:pPr>
        <w:ind w:left="7240" w:hanging="567"/>
      </w:pPr>
      <w:rPr>
        <w:rFonts w:hint="default"/>
        <w:lang w:val="en-AU" w:eastAsia="en-AU" w:bidi="en-AU"/>
      </w:rPr>
    </w:lvl>
    <w:lvl w:ilvl="7" w:tplc="E34A227C">
      <w:numFmt w:val="bullet"/>
      <w:lvlText w:val="•"/>
      <w:lvlJc w:val="left"/>
      <w:pPr>
        <w:ind w:left="8233" w:hanging="567"/>
      </w:pPr>
      <w:rPr>
        <w:rFonts w:hint="default"/>
        <w:lang w:val="en-AU" w:eastAsia="en-AU" w:bidi="en-AU"/>
      </w:rPr>
    </w:lvl>
    <w:lvl w:ilvl="8" w:tplc="44DE8F6C">
      <w:numFmt w:val="bullet"/>
      <w:lvlText w:val="•"/>
      <w:lvlJc w:val="left"/>
      <w:pPr>
        <w:ind w:left="9226" w:hanging="567"/>
      </w:pPr>
      <w:rPr>
        <w:rFonts w:hint="default"/>
        <w:lang w:val="en-AU" w:eastAsia="en-AU" w:bidi="en-AU"/>
      </w:rPr>
    </w:lvl>
  </w:abstractNum>
  <w:abstractNum w:abstractNumId="1" w15:restartNumberingAfterBreak="0">
    <w:nsid w:val="61C20B8B"/>
    <w:multiLevelType w:val="hybridMultilevel"/>
    <w:tmpl w:val="FF6ED008"/>
    <w:lvl w:ilvl="0" w:tplc="4D2C2184">
      <w:numFmt w:val="bullet"/>
      <w:lvlText w:val=""/>
      <w:lvlJc w:val="left"/>
      <w:pPr>
        <w:ind w:left="1402" w:hanging="567"/>
      </w:pPr>
      <w:rPr>
        <w:rFonts w:ascii="Symbol" w:eastAsia="Symbol" w:hAnsi="Symbol" w:cs="Symbol" w:hint="default"/>
        <w:w w:val="99"/>
        <w:sz w:val="20"/>
        <w:szCs w:val="20"/>
        <w:lang w:val="en-AU" w:eastAsia="en-AU" w:bidi="en-AU"/>
      </w:rPr>
    </w:lvl>
    <w:lvl w:ilvl="1" w:tplc="427AB0D4">
      <w:numFmt w:val="bullet"/>
      <w:lvlText w:val="•"/>
      <w:lvlJc w:val="left"/>
      <w:pPr>
        <w:ind w:left="2320" w:hanging="567"/>
      </w:pPr>
      <w:rPr>
        <w:rFonts w:hint="default"/>
        <w:lang w:val="en-AU" w:eastAsia="en-AU" w:bidi="en-AU"/>
      </w:rPr>
    </w:lvl>
    <w:lvl w:ilvl="2" w:tplc="619E77A4">
      <w:numFmt w:val="bullet"/>
      <w:lvlText w:val="•"/>
      <w:lvlJc w:val="left"/>
      <w:pPr>
        <w:ind w:left="3241" w:hanging="567"/>
      </w:pPr>
      <w:rPr>
        <w:rFonts w:hint="default"/>
        <w:lang w:val="en-AU" w:eastAsia="en-AU" w:bidi="en-AU"/>
      </w:rPr>
    </w:lvl>
    <w:lvl w:ilvl="3" w:tplc="3EA4AA5E">
      <w:numFmt w:val="bullet"/>
      <w:lvlText w:val="•"/>
      <w:lvlJc w:val="left"/>
      <w:pPr>
        <w:ind w:left="4161" w:hanging="567"/>
      </w:pPr>
      <w:rPr>
        <w:rFonts w:hint="default"/>
        <w:lang w:val="en-AU" w:eastAsia="en-AU" w:bidi="en-AU"/>
      </w:rPr>
    </w:lvl>
    <w:lvl w:ilvl="4" w:tplc="67824C60">
      <w:numFmt w:val="bullet"/>
      <w:lvlText w:val="•"/>
      <w:lvlJc w:val="left"/>
      <w:pPr>
        <w:ind w:left="5082" w:hanging="567"/>
      </w:pPr>
      <w:rPr>
        <w:rFonts w:hint="default"/>
        <w:lang w:val="en-AU" w:eastAsia="en-AU" w:bidi="en-AU"/>
      </w:rPr>
    </w:lvl>
    <w:lvl w:ilvl="5" w:tplc="5E0EBD7E">
      <w:numFmt w:val="bullet"/>
      <w:lvlText w:val="•"/>
      <w:lvlJc w:val="left"/>
      <w:pPr>
        <w:ind w:left="6003" w:hanging="567"/>
      </w:pPr>
      <w:rPr>
        <w:rFonts w:hint="default"/>
        <w:lang w:val="en-AU" w:eastAsia="en-AU" w:bidi="en-AU"/>
      </w:rPr>
    </w:lvl>
    <w:lvl w:ilvl="6" w:tplc="09FA2BF8">
      <w:numFmt w:val="bullet"/>
      <w:lvlText w:val="•"/>
      <w:lvlJc w:val="left"/>
      <w:pPr>
        <w:ind w:left="6923" w:hanging="567"/>
      </w:pPr>
      <w:rPr>
        <w:rFonts w:hint="default"/>
        <w:lang w:val="en-AU" w:eastAsia="en-AU" w:bidi="en-AU"/>
      </w:rPr>
    </w:lvl>
    <w:lvl w:ilvl="7" w:tplc="58DC7888">
      <w:numFmt w:val="bullet"/>
      <w:lvlText w:val="•"/>
      <w:lvlJc w:val="left"/>
      <w:pPr>
        <w:ind w:left="7844" w:hanging="567"/>
      </w:pPr>
      <w:rPr>
        <w:rFonts w:hint="default"/>
        <w:lang w:val="en-AU" w:eastAsia="en-AU" w:bidi="en-AU"/>
      </w:rPr>
    </w:lvl>
    <w:lvl w:ilvl="8" w:tplc="900ECBA2">
      <w:numFmt w:val="bullet"/>
      <w:lvlText w:val="•"/>
      <w:lvlJc w:val="left"/>
      <w:pPr>
        <w:ind w:left="8765" w:hanging="567"/>
      </w:pPr>
      <w:rPr>
        <w:rFonts w:hint="default"/>
        <w:lang w:val="en-AU" w:eastAsia="en-AU" w:bidi="en-AU"/>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38"/>
    <w:rsid w:val="00126D55"/>
    <w:rsid w:val="00B42B38"/>
    <w:rsid w:val="00B871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4F3E"/>
  <w15:chartTrackingRefBased/>
  <w15:docId w15:val="{11A6590B-2CCD-426E-B375-8A34C753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42B38"/>
    <w:pPr>
      <w:widowControl w:val="0"/>
      <w:autoSpaceDE w:val="0"/>
      <w:autoSpaceDN w:val="0"/>
      <w:spacing w:after="0" w:line="240" w:lineRule="auto"/>
    </w:pPr>
    <w:rPr>
      <w:rFonts w:ascii="Calibri" w:eastAsia="Calibri" w:hAnsi="Calibri" w:cs="Calibri"/>
      <w:lang w:eastAsia="en-AU" w:bidi="en-AU"/>
    </w:rPr>
  </w:style>
  <w:style w:type="character" w:customStyle="1" w:styleId="BodyTextChar">
    <w:name w:val="Body Text Char"/>
    <w:basedOn w:val="DefaultParagraphFont"/>
    <w:link w:val="BodyText"/>
    <w:uiPriority w:val="1"/>
    <w:rsid w:val="00B42B38"/>
    <w:rPr>
      <w:rFonts w:ascii="Calibri" w:eastAsia="Calibri" w:hAnsi="Calibri" w:cs="Calibri"/>
      <w:lang w:eastAsia="en-AU" w:bidi="en-AU"/>
    </w:rPr>
  </w:style>
  <w:style w:type="paragraph" w:styleId="ListParagraph">
    <w:name w:val="List Paragraph"/>
    <w:basedOn w:val="Normal"/>
    <w:uiPriority w:val="1"/>
    <w:qFormat/>
    <w:rsid w:val="00B42B38"/>
    <w:pPr>
      <w:widowControl w:val="0"/>
      <w:autoSpaceDE w:val="0"/>
      <w:autoSpaceDN w:val="0"/>
      <w:spacing w:before="51" w:after="0" w:line="240" w:lineRule="auto"/>
      <w:ind w:left="1402" w:hanging="567"/>
    </w:pPr>
    <w:rPr>
      <w:rFonts w:ascii="Calibri" w:eastAsia="Calibri" w:hAnsi="Calibri" w:cs="Calibri"/>
      <w:lang w:eastAsia="en-AU" w:bidi="en-AU"/>
    </w:rPr>
  </w:style>
  <w:style w:type="paragraph" w:customStyle="1" w:styleId="TableParagraph">
    <w:name w:val="Table Paragraph"/>
    <w:basedOn w:val="Normal"/>
    <w:uiPriority w:val="1"/>
    <w:qFormat/>
    <w:rsid w:val="00B42B38"/>
    <w:pPr>
      <w:widowControl w:val="0"/>
      <w:autoSpaceDE w:val="0"/>
      <w:autoSpaceDN w:val="0"/>
      <w:spacing w:after="0" w:line="240" w:lineRule="auto"/>
      <w:ind w:left="111"/>
      <w:jc w:val="center"/>
    </w:pPr>
    <w:rPr>
      <w:rFonts w:ascii="Calibri" w:eastAsia="Calibri" w:hAnsi="Calibri" w:cs="Calibri"/>
      <w:lang w:eastAsia="en-AU" w:bidi="en-AU"/>
    </w:rPr>
  </w:style>
  <w:style w:type="character" w:styleId="Hyperlink">
    <w:name w:val="Hyperlink"/>
    <w:basedOn w:val="DefaultParagraphFont"/>
    <w:uiPriority w:val="99"/>
    <w:unhideWhenUsed/>
    <w:rsid w:val="00B42B38"/>
    <w:rPr>
      <w:color w:val="0563C1" w:themeColor="hyperlink"/>
      <w:u w:val="single"/>
    </w:rPr>
  </w:style>
  <w:style w:type="character" w:styleId="UnresolvedMention">
    <w:name w:val="Unresolved Mention"/>
    <w:basedOn w:val="DefaultParagraphFont"/>
    <w:uiPriority w:val="99"/>
    <w:semiHidden/>
    <w:unhideWhenUsed/>
    <w:rsid w:val="00B42B38"/>
    <w:rPr>
      <w:color w:val="605E5C"/>
      <w:shd w:val="clear" w:color="auto" w:fill="E1DFDD"/>
    </w:rPr>
  </w:style>
  <w:style w:type="character" w:styleId="FollowedHyperlink">
    <w:name w:val="FollowedHyperlink"/>
    <w:basedOn w:val="DefaultParagraphFont"/>
    <w:uiPriority w:val="99"/>
    <w:semiHidden/>
    <w:unhideWhenUsed/>
    <w:rsid w:val="00B42B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egrowingsolution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naddicts.com.a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Yockins</dc:creator>
  <cp:keywords/>
  <dc:description/>
  <cp:lastModifiedBy>Ryan Yockins</cp:lastModifiedBy>
  <cp:revision>1</cp:revision>
  <dcterms:created xsi:type="dcterms:W3CDTF">2020-04-18T23:19:00Z</dcterms:created>
  <dcterms:modified xsi:type="dcterms:W3CDTF">2020-04-18T23:34:00Z</dcterms:modified>
</cp:coreProperties>
</file>